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215204">
        <w:rPr>
          <w:rFonts w:ascii="Times New Roman" w:hAnsi="Times New Roman" w:cs="Times New Roman"/>
          <w:color w:val="000000"/>
          <w:lang w:val="sr-Latn-CS"/>
        </w:rPr>
        <w:t>8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BC052C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</w:t>
      </w:r>
      <w:r w:rsidR="005E4EBC">
        <w:rPr>
          <w:rFonts w:ascii="Times New Roman" w:hAnsi="Times New Roman" w:cs="Times New Roman"/>
          <w:lang w:val="sr-Latn-RS"/>
        </w:rPr>
        <w:t>Prema Regulativi (EC) br. 1907/2006)</w:t>
      </w:r>
      <w:r w:rsidRPr="00BC052C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- MSDS proizvođača</w:t>
      </w:r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1C6567">
        <w:rPr>
          <w:rFonts w:ascii="Times New Roman" w:hAnsi="Times New Roman" w:cs="Times New Roman"/>
          <w:lang w:val="sr-Latn-CS"/>
        </w:rPr>
        <w:t>decembar, 2012</w:t>
      </w:r>
      <w:r w:rsidR="0004713E">
        <w:rPr>
          <w:rFonts w:ascii="Times New Roman" w:hAnsi="Times New Roman" w:cs="Times New Roman"/>
          <w:lang w:val="sr-Latn-CS"/>
        </w:rPr>
        <w:t>.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8B2A29">
        <w:rPr>
          <w:rFonts w:ascii="Times New Roman" w:hAnsi="Times New Roman" w:cs="Times New Roman"/>
          <w:lang w:val="sr-Latn-CS"/>
        </w:rPr>
        <w:t>1</w:t>
      </w:r>
      <w:r w:rsidR="0004713E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               </w:t>
      </w:r>
      <w:r w:rsidR="008B2A29">
        <w:rPr>
          <w:rFonts w:ascii="Times New Roman" w:hAnsi="Times New Roman" w:cs="Times New Roman"/>
          <w:lang w:val="sr-Latn-CS"/>
        </w:rPr>
        <w:t xml:space="preserve">    </w:t>
      </w:r>
      <w:r>
        <w:rPr>
          <w:rFonts w:ascii="Times New Roman" w:hAnsi="Times New Roman" w:cs="Times New Roman"/>
          <w:lang w:val="sr-Latn-CS"/>
        </w:rPr>
        <w:t xml:space="preserve">   </w:t>
      </w:r>
      <w:r w:rsidR="008B2A29">
        <w:rPr>
          <w:rFonts w:ascii="Times New Roman" w:hAnsi="Times New Roman" w:cs="Times New Roman"/>
          <w:lang w:val="sr-Latn-CS"/>
        </w:rPr>
        <w:t xml:space="preserve">         </w:t>
      </w:r>
      <w:r>
        <w:rPr>
          <w:rFonts w:ascii="Times New Roman" w:hAnsi="Times New Roman" w:cs="Times New Roman"/>
          <w:lang w:val="sr-Latn-CS"/>
        </w:rPr>
        <w:t xml:space="preserve">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</w:t>
      </w:r>
      <w:r w:rsidR="008B2A29">
        <w:rPr>
          <w:rFonts w:ascii="Times New Roman" w:hAnsi="Times New Roman" w:cs="Times New Roman"/>
          <w:color w:val="000000"/>
          <w:lang w:val="sr-Latn-CS"/>
        </w:rPr>
        <w:t xml:space="preserve">  </w:t>
      </w:r>
      <w:r w:rsidRPr="009A04C5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="008B2A29">
        <w:rPr>
          <w:rFonts w:ascii="Times New Roman" w:hAnsi="Times New Roman" w:cs="Times New Roman"/>
          <w:color w:val="000000"/>
          <w:lang w:val="sr-Latn-CS"/>
        </w:rPr>
        <w:t>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45753D" w:rsidRDefault="00DE1005" w:rsidP="00096130">
            <w:pPr>
              <w:autoSpaceDE w:val="0"/>
              <w:autoSpaceDN w:val="0"/>
              <w:adjustRightInd w:val="0"/>
              <w:jc w:val="both"/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VITAMIN B12 1% Feed Grade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8B2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="00234156">
              <w:rPr>
                <w:rFonts w:ascii="Times-New-Roman" w:hAnsi="Times-New-Roman" w:cs="Times-New-Roman"/>
                <w:b/>
                <w:i/>
                <w:lang w:val="de-DE"/>
              </w:rPr>
              <w:t xml:space="preserve">:  </w:t>
            </w:r>
            <w:r w:rsidR="008B2A29">
              <w:rPr>
                <w:rFonts w:ascii="Times-New-Roman" w:hAnsi="Times-New-Roman" w:cs="Times-New-Roman"/>
                <w:b/>
                <w:i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4105AA" w:rsidRDefault="004105AA" w:rsidP="009F787D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Aditiv </w:t>
            </w:r>
            <w:r w:rsidR="008B2A29">
              <w:rPr>
                <w:rFonts w:ascii="Times-New-Roman" w:hAnsi="Times-New-Roman" w:cs="Times-New-Roman"/>
                <w:lang w:val="de-DE"/>
              </w:rPr>
              <w:t xml:space="preserve">za </w:t>
            </w:r>
            <w:r w:rsidR="009F787D">
              <w:rPr>
                <w:rFonts w:ascii="Times-New-Roman" w:hAnsi="Times-New-Roman" w:cs="Times-New-Roman"/>
                <w:lang w:val="de-DE"/>
              </w:rPr>
              <w:t xml:space="preserve">premikse i sastojak </w:t>
            </w:r>
            <w:r>
              <w:rPr>
                <w:rFonts w:ascii="Times-New-Roman" w:hAnsi="Times-New-Roman" w:cs="Times-New-Roman"/>
                <w:lang w:val="de-DE"/>
              </w:rPr>
              <w:t>hran</w:t>
            </w:r>
            <w:r w:rsidR="009F787D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 xml:space="preserve"> za životinje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</w:t>
            </w:r>
            <w:proofErr w:type="gramStart"/>
            <w:r w:rsidRPr="00A4469C">
              <w:rPr>
                <w:rFonts w:ascii="Times-New-Roman" w:hAnsi="Times-New-Roman" w:cs="Times-New-Roman"/>
              </w:rPr>
              <w:t xml:space="preserve">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proofErr w:type="gramEnd"/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DE1005">
        <w:trPr>
          <w:trHeight w:val="1602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DSM Nutritional Products </w:t>
            </w:r>
            <w:r w:rsidR="008B2A29">
              <w:rPr>
                <w:rFonts w:ascii="Times-New-Roman" w:hAnsi="Times-New-Roman" w:cs="Times-New-Roman"/>
              </w:rPr>
              <w:t>Ltd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Wurmisweg 576</w:t>
            </w:r>
          </w:p>
          <w:p w:rsidR="004105AA" w:rsidRDefault="004105A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CH-4303 Kaiseraugst</w:t>
            </w:r>
          </w:p>
          <w:p w:rsidR="008B2A29" w:rsidRDefault="00152071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FA3ED0">
              <w:rPr>
                <w:rFonts w:ascii="Times-New-Roman" w:hAnsi="Times-New-Roman" w:cs="Times-New-Roman"/>
                <w:lang w:val="de-DE"/>
              </w:rPr>
              <w:t>41</w:t>
            </w:r>
            <w:r w:rsidR="008B2A29">
              <w:rPr>
                <w:rFonts w:ascii="Times-New-Roman" w:hAnsi="Times-New-Roman" w:cs="Times-New-Roman"/>
                <w:lang w:val="de-DE"/>
              </w:rPr>
              <w:t>618158888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 </w:t>
            </w:r>
            <w:r w:rsidR="004105AA" w:rsidRPr="004105AA">
              <w:rPr>
                <w:rFonts w:ascii="Times-New-Roman" w:hAnsi="Times-New-Roman" w:cs="Times-New-Roman"/>
                <w:b/>
                <w:lang w:val="de-DE"/>
              </w:rPr>
              <w:t>fax:</w:t>
            </w:r>
            <w:r w:rsidR="004105AA">
              <w:rPr>
                <w:rFonts w:ascii="Times-New-Roman" w:hAnsi="Times-New-Roman" w:cs="Times-New-Roman"/>
                <w:lang w:val="de-DE"/>
              </w:rPr>
              <w:t xml:space="preserve"> +</w:t>
            </w:r>
            <w:r w:rsidR="008B2A29">
              <w:rPr>
                <w:rFonts w:ascii="Times-New-Roman" w:hAnsi="Times-New-Roman" w:cs="Times-New-Roman"/>
                <w:lang w:val="de-DE"/>
              </w:rPr>
              <w:t>41618157253</w:t>
            </w:r>
          </w:p>
          <w:p w:rsidR="004105AA" w:rsidRPr="004105AA" w:rsidRDefault="004105AA" w:rsidP="008B2A29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Latn-RS"/>
              </w:rPr>
            </w:pPr>
            <w:r>
              <w:rPr>
                <w:rFonts w:ascii="Times-New-Roman" w:hAnsi="Times-New-Roman" w:cs="Times-New-Roman"/>
                <w:lang w:val="de-DE"/>
              </w:rPr>
              <w:t>e-mail adresa:sds.</w:t>
            </w:r>
            <w:r w:rsidRPr="004105AA">
              <w:rPr>
                <w:rFonts w:ascii="Times New Roman" w:hAnsi="Times New Roman" w:cs="Times New Roman"/>
                <w:lang w:val="de-DE"/>
              </w:rPr>
              <w:t>nutritionalproducts</w:t>
            </w:r>
            <w:r w:rsidRPr="004105AA">
              <w:rPr>
                <w:rFonts w:ascii="Times New Roman" w:hAnsi="Times New Roman" w:cs="Times New Roman"/>
              </w:rPr>
              <w:t>@</w:t>
            </w:r>
            <w:r w:rsidRPr="004105AA">
              <w:rPr>
                <w:rFonts w:ascii="Times New Roman" w:hAnsi="Times New Roman" w:cs="Times New Roman"/>
                <w:lang w:val="sr-Latn-RS"/>
              </w:rPr>
              <w:t>dsm.com</w:t>
            </w: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DE1005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DE1005">
              <w:rPr>
                <w:rFonts w:ascii="Times-New-Roman" w:hAnsi="Times-New-Roman" w:cs="Times-New-Roman"/>
                <w:b/>
                <w:i/>
              </w:rPr>
              <w:t xml:space="preserve"> i </w:t>
            </w:r>
            <w:r w:rsidR="00DE1005">
              <w:rPr>
                <w:rFonts w:ascii="Times-New-Roman" w:hAnsi="Times-New-Roman" w:cs="Times-New-Roman"/>
                <w:b/>
                <w:i/>
                <w:lang w:val="de-DE"/>
              </w:rPr>
              <w:t>d</w:t>
            </w:r>
            <w:r w:rsidR="00DE1005" w:rsidRPr="00A4469C">
              <w:rPr>
                <w:rFonts w:ascii="Times-New-Roman" w:hAnsi="Times-New-Roman" w:cs="Times-New-Roman"/>
                <w:b/>
                <w:i/>
                <w:lang w:val="de-DE"/>
              </w:rPr>
              <w:t>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1C6567" w:rsidRDefault="00A3582C" w:rsidP="001C656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1C6567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1C6567">
              <w:rPr>
                <w:rFonts w:ascii="Times New Roman" w:eastAsia="Times New Roman" w:hAnsi="Times New Roman" w:cs="Times New Roman"/>
              </w:rPr>
              <w:t xml:space="preserve"> </w:t>
            </w:r>
            <w:r w:rsidR="001C6567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1C6567">
              <w:rPr>
                <w:rFonts w:ascii="Times New Roman" w:eastAsia="Times New Roman" w:hAnsi="Times New Roman" w:cs="Times New Roman"/>
              </w:rPr>
              <w:t>atovljev</w:t>
            </w:r>
            <w:r w:rsidR="001C6567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51FC" w:rsidRDefault="001C6567" w:rsidP="001C6567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215204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1350"/>
        <w:gridCol w:w="990"/>
        <w:gridCol w:w="450"/>
        <w:gridCol w:w="1515"/>
        <w:gridCol w:w="1545"/>
        <w:gridCol w:w="2533"/>
      </w:tblGrid>
      <w:tr w:rsidR="00FC4D1B" w:rsidTr="00505DE2">
        <w:trPr>
          <w:trHeight w:val="2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8558C9">
        <w:trPr>
          <w:trHeight w:val="665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F787D" w:rsidRDefault="00FC4D1B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DE1005" w:rsidRDefault="00DE1005" w:rsidP="00DE1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Prema 67/548/EEC, 1999/45/EC:</w:t>
            </w:r>
          </w:p>
          <w:p w:rsidR="009F787D" w:rsidRDefault="009F787D" w:rsidP="00E34D5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</w:p>
          <w:p w:rsidR="008B2A29" w:rsidRPr="008B2A29" w:rsidRDefault="008B2A29" w:rsidP="00E34D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8B2A29">
              <w:rPr>
                <w:rFonts w:ascii="Times New Roman" w:eastAsia="Times New Roman" w:hAnsi="Times New Roman" w:cs="Times New Roman"/>
                <w:bCs/>
              </w:rPr>
              <w:t>Dodatne opasnosti: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DE1005" w:rsidRDefault="00DE1005" w:rsidP="00DE10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005" w:rsidRDefault="00DE1005" w:rsidP="008971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spada u opasne supstance ili smeše prema EC-direktivama 67/548/EEC ili 1999/45/EC</w:t>
            </w:r>
          </w:p>
          <w:p w:rsidR="008B2A29" w:rsidRPr="008B2A29" w:rsidRDefault="008B2A29" w:rsidP="00855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  <w:r w:rsidRPr="009F787D">
              <w:rPr>
                <w:rFonts w:ascii="Times New Roman" w:hAnsi="Times New Roman" w:cs="Times New Roman"/>
              </w:rPr>
              <w:t>Rizik od eksplozije prašine.</w:t>
            </w:r>
          </w:p>
        </w:tc>
      </w:tr>
      <w:tr w:rsidR="00152071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043" w:type="dxa"/>
            <w:gridSpan w:val="4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2739FC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152071" w:rsidRPr="00394137" w:rsidRDefault="00DE1005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152071" w:rsidTr="00AD7EC8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4586F" w:rsidRPr="00F4586F" w:rsidRDefault="00FC4D1B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152071" w:rsidRPr="00394137" w:rsidRDefault="00A3622A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F4586F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2739FC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2739FC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-</w:t>
            </w:r>
            <w:r w:rsidR="00A25630"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="00A25630"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F6330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043" w:type="dxa"/>
            <w:gridSpan w:val="4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04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8558C9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04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DE1005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558C9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DE1005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8B2A29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043" w:type="dxa"/>
            <w:gridSpan w:val="4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6B5251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A25630" w:rsidTr="00E13312">
        <w:trPr>
          <w:trHeight w:val="80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558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043" w:type="dxa"/>
            <w:gridSpan w:val="4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8B2A29" w:rsidP="0085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E34D54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E13312" w:rsidTr="00505DE2">
        <w:trPr>
          <w:trHeight w:val="15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13312" w:rsidRDefault="00DE1005" w:rsidP="008971EB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</w:t>
            </w:r>
            <w:r w:rsidRPr="00E93EB4">
              <w:rPr>
                <w:rFonts w:ascii="Times New Roman" w:hAnsi="Times New Roman" w:cs="Times New Roman"/>
                <w:b/>
                <w:bCs/>
              </w:rPr>
              <w:t xml:space="preserve"> proizvoda: 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smeša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koja sadrži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aktivne komponente</w:t>
            </w:r>
            <w:r w:rsidRPr="00F4586F">
              <w:rPr>
                <w:rFonts w:ascii="Times New Roman" w:hAnsi="Times New Roman" w:cs="Times New Roman"/>
                <w:bCs/>
                <w:lang w:val="sr-Latn-RS"/>
              </w:rPr>
              <w:t xml:space="preserve"> i </w:t>
            </w:r>
            <w:r>
              <w:rPr>
                <w:rFonts w:ascii="Times New Roman" w:hAnsi="Times New Roman" w:cs="Times New Roman"/>
                <w:bCs/>
                <w:lang w:val="sr-Latn-RS"/>
              </w:rPr>
              <w:t>pomoćne supstance.</w:t>
            </w:r>
          </w:p>
          <w:p w:rsidR="00DE1005" w:rsidRPr="00A4469C" w:rsidRDefault="00DE1005" w:rsidP="004851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Napomena: ne sadrži opasne komponente prema regulativi (EC) br. 1907/2006.</w:t>
            </w:r>
          </w:p>
        </w:tc>
      </w:tr>
      <w:tr w:rsidR="008971EB" w:rsidTr="008971EB">
        <w:trPr>
          <w:trHeight w:val="50"/>
          <w:jc w:val="center"/>
        </w:trPr>
        <w:tc>
          <w:tcPr>
            <w:tcW w:w="262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EB" w:rsidRPr="00A4469C" w:rsidRDefault="008971E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Ostale  komponente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EB" w:rsidRPr="00A4469C" w:rsidRDefault="008971E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CAS broj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EB" w:rsidRPr="00A4469C" w:rsidRDefault="008971E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EC broj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1EB" w:rsidRPr="00A4469C" w:rsidRDefault="008971EB" w:rsidP="00D37D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 w:rsidRPr="001217D2"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1</w:t>
            </w:r>
          </w:p>
        </w:tc>
        <w:tc>
          <w:tcPr>
            <w:tcW w:w="154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1EB" w:rsidRPr="001217D2" w:rsidRDefault="008971EB" w:rsidP="00D37D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Klasifikacija</w:t>
            </w:r>
            <w:r>
              <w:rPr>
                <w:rFonts w:ascii="Times-New-Roman,Bold" w:hAnsi="Times-New-Roman,Bold" w:cs="Times-New-Roman,Bold"/>
                <w:b/>
                <w:bCs/>
                <w:vertAlign w:val="superscript"/>
                <w:lang w:val="de-DE"/>
              </w:rPr>
              <w:t>2</w:t>
            </w:r>
          </w:p>
        </w:tc>
        <w:tc>
          <w:tcPr>
            <w:tcW w:w="253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971EB" w:rsidRPr="00A4469C" w:rsidRDefault="008971EB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 (%)</w:t>
            </w:r>
          </w:p>
        </w:tc>
      </w:tr>
      <w:tr w:rsidR="008971EB" w:rsidTr="008971EB">
        <w:trPr>
          <w:trHeight w:val="70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1EB" w:rsidRPr="00DE1005" w:rsidRDefault="008971EB" w:rsidP="00DE10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cyanocobalamin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1EB" w:rsidRDefault="008971EB" w:rsidP="00DE10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68-19-9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1EB" w:rsidRDefault="008971EB" w:rsidP="00DE10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200-680-0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1EB" w:rsidRDefault="008971EB" w:rsidP="00DE100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1EB" w:rsidRDefault="008971EB" w:rsidP="00DE100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971EB" w:rsidRPr="00831D13" w:rsidRDefault="008971EB" w:rsidP="00897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&gt;= 0,9- &lt; </w:t>
            </w:r>
            <w:r>
              <w:rPr>
                <w:rFonts w:ascii="Times New Roman" w:hAnsi="Times New Roman" w:cs="Times New Roman"/>
                <w:lang w:val="sr-Latn-RS"/>
              </w:rPr>
              <w:t>= 1,1</w:t>
            </w:r>
          </w:p>
        </w:tc>
      </w:tr>
      <w:tr w:rsidR="008971EB" w:rsidTr="008971EB">
        <w:trPr>
          <w:trHeight w:val="70"/>
          <w:jc w:val="center"/>
        </w:trPr>
        <w:tc>
          <w:tcPr>
            <w:tcW w:w="262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1EB" w:rsidRDefault="008971EB" w:rsidP="00DE100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calcium carbonate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1EB" w:rsidRDefault="008971EB" w:rsidP="00DE10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471-34-1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1EB" w:rsidRDefault="008971EB" w:rsidP="00DE10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207-439-9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1EB" w:rsidRDefault="008971EB" w:rsidP="00DE100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71EB" w:rsidRDefault="008971EB" w:rsidP="00DE100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971EB" w:rsidRPr="00831D13" w:rsidRDefault="008971EB" w:rsidP="00897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&gt; 95- &lt; </w:t>
            </w:r>
            <w:r>
              <w:rPr>
                <w:rFonts w:ascii="Times New Roman" w:hAnsi="Times New Roman" w:cs="Times New Roman"/>
                <w:lang w:val="sr-Latn-RS"/>
              </w:rPr>
              <w:t>100</w:t>
            </w:r>
          </w:p>
        </w:tc>
      </w:tr>
      <w:tr w:rsidR="00DE1005" w:rsidTr="009F787D">
        <w:trPr>
          <w:trHeight w:val="70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971EB" w:rsidRPr="00211F6B" w:rsidRDefault="008971EB" w:rsidP="008971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1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( „Sl.glasnik RS“ br.59/10 i 25/11)</w:t>
            </w:r>
          </w:p>
          <w:p w:rsidR="00DE1005" w:rsidRDefault="008971EB" w:rsidP="008971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211F6B">
              <w:rPr>
                <w:rFonts w:ascii="Times New Roman" w:hAnsi="Times New Roman" w:cs="Times New Roman"/>
                <w:lang w:val="de-DE"/>
              </w:rPr>
              <w:t>Klasifika</w:t>
            </w:r>
            <w:r w:rsidRPr="00211F6B">
              <w:rPr>
                <w:rFonts w:ascii="Times New Roman" w:hAnsi="Times New Roman" w:cs="Times New Roman"/>
                <w:lang w:val="sr-Latn-RS"/>
              </w:rPr>
              <w:t>cija</w:t>
            </w:r>
            <w:r w:rsidRPr="00211F6B">
              <w:rPr>
                <w:rFonts w:ascii="Times New Roman" w:hAnsi="Times New Roman" w:cs="Times New Roman"/>
                <w:vertAlign w:val="superscript"/>
                <w:lang w:val="sr-Latn-RS"/>
              </w:rPr>
              <w:t>2</w:t>
            </w:r>
            <w:r w:rsidRPr="00211F6B">
              <w:rPr>
                <w:rFonts w:ascii="Times New Roman" w:hAnsi="Times New Roman" w:cs="Times New Roman"/>
                <w:lang w:val="sr-Latn-RS"/>
              </w:rPr>
              <w:t>u skladu sa Pravilnikom o klasifikaciji, pakovanju, obeležavanju i oglašavanju hemikalija i određenog proiz-voda u skladu sa Globalno harmonizovanim sistemom za klasifikaciju i obeležavanje UN ( „Sl</w:t>
            </w:r>
            <w:r>
              <w:rPr>
                <w:rFonts w:ascii="Times New Roman" w:hAnsi="Times New Roman" w:cs="Times New Roman"/>
                <w:lang w:val="sr-Latn-RS"/>
              </w:rPr>
              <w:t>.glasnik RS“ br.64/10 i 26/11).</w:t>
            </w:r>
          </w:p>
        </w:tc>
      </w:tr>
      <w:tr w:rsidR="00DE1005" w:rsidTr="008558C9">
        <w:trPr>
          <w:trHeight w:val="70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E1005" w:rsidRPr="00074FD9" w:rsidRDefault="00DE1005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E1005" w:rsidTr="00F63302">
        <w:trPr>
          <w:trHeight w:val="7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E1005" w:rsidRPr="00A4469C" w:rsidRDefault="00DE1005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E1005" w:rsidRPr="00A4469C" w:rsidRDefault="008971EB" w:rsidP="00147F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1422EA">
              <w:rPr>
                <w:rFonts w:ascii="Times New Roman" w:hAnsi="Times New Roman" w:cs="Times New Roman"/>
                <w:lang w:val="de-DE"/>
              </w:rPr>
              <w:t>Ne spada u klasu opasnosti koja zahteva posebne mere za pružanje prve pomoći.</w:t>
            </w:r>
          </w:p>
        </w:tc>
      </w:tr>
      <w:tr w:rsidR="00DE1005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E1005" w:rsidRPr="00A4469C" w:rsidRDefault="00DE1005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604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E1005" w:rsidRPr="00A4469C" w:rsidRDefault="00DE1005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Osobu izvesti na svež vazduh</w:t>
            </w:r>
            <w:r>
              <w:rPr>
                <w:rFonts w:ascii="Times-New-Roman" w:hAnsi="Times-New-Roman" w:cs="Times-New-Roman"/>
              </w:rPr>
              <w:t xml:space="preserve"> u slučaju nenamernog udisanja prašine ili isparenja od pregrejanog proizvoda ili sagorevanja</w:t>
            </w:r>
            <w:r w:rsidRPr="00A4469C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Ukoliko ostanu simptomi konsultovati lekara.</w:t>
            </w:r>
          </w:p>
        </w:tc>
      </w:tr>
      <w:tr w:rsidR="00DE1005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E1005" w:rsidRPr="00A4469C" w:rsidRDefault="00DE1005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04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E1005" w:rsidRPr="00A4469C" w:rsidRDefault="00DE1005" w:rsidP="002739F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odmah kontaminiranu odeću i obuću. Isprati kožu sa dosta vode i sapuna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DE1005" w:rsidTr="002739FC">
        <w:trPr>
          <w:trHeight w:val="465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E1005" w:rsidRPr="00A4469C" w:rsidRDefault="00DE1005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6043" w:type="dxa"/>
            <w:gridSpan w:val="4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E1005" w:rsidRPr="00A4469C" w:rsidRDefault="00DE1005" w:rsidP="008D4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Radi predostrožnosti isprati oko vodom. Ukloniti kontaktna sočiva. Zaštiti nepovređeno oko. Držati oko širom otvoreno u toku ispiranja. </w:t>
            </w:r>
          </w:p>
        </w:tc>
      </w:tr>
      <w:tr w:rsidR="00DE1005" w:rsidTr="008D4825">
        <w:trPr>
          <w:trHeight w:val="198"/>
          <w:jc w:val="center"/>
        </w:trPr>
        <w:tc>
          <w:tcPr>
            <w:tcW w:w="4963" w:type="dxa"/>
            <w:gridSpan w:val="3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E1005" w:rsidRPr="00A4469C" w:rsidRDefault="00DE1005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6043" w:type="dxa"/>
            <w:gridSpan w:val="4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E1005" w:rsidRPr="00A4469C" w:rsidRDefault="00DE1005" w:rsidP="008D4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vodom usta, a zatim piti velike količine vode. Ne davati </w:t>
            </w:r>
            <w:proofErr w:type="gramStart"/>
            <w:r>
              <w:rPr>
                <w:rFonts w:ascii="Times-New-Roman" w:hAnsi="Times-New-Roman" w:cs="Times-New-Roman"/>
              </w:rPr>
              <w:t>mleko  niti</w:t>
            </w:r>
            <w:proofErr w:type="gramEnd"/>
            <w:r>
              <w:rPr>
                <w:rFonts w:ascii="Times-New-Roman" w:hAnsi="Times-New-Roman" w:cs="Times-New-Roman"/>
              </w:rPr>
              <w:t xml:space="preserve"> alkoholna pica. Nikada ne stavljati ništa u usta onesvešćenoj osobi. </w:t>
            </w:r>
          </w:p>
        </w:tc>
      </w:tr>
    </w:tbl>
    <w:p w:rsidR="008D4825" w:rsidRPr="002C21D4" w:rsidRDefault="008D4825" w:rsidP="008D482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Vitamin B12 1% Feed Grade)</w:t>
      </w:r>
    </w:p>
    <w:p w:rsidR="008D4825" w:rsidRPr="002C21D4" w:rsidRDefault="008D4825" w:rsidP="008D4825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C6567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D4825" w:rsidRDefault="008D4825" w:rsidP="008D4825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2</w:t>
      </w:r>
      <w:r w:rsidRPr="009A04C5">
        <w:rPr>
          <w:rFonts w:ascii="Times New Roman" w:hAnsi="Times New Roman" w:cs="Times New Roman"/>
        </w:rPr>
        <w:t>/</w:t>
      </w:r>
      <w:r w:rsidR="00215204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6313"/>
      </w:tblGrid>
      <w:tr w:rsidR="00DE1005" w:rsidTr="008D4825">
        <w:trPr>
          <w:trHeight w:val="465"/>
          <w:jc w:val="center"/>
        </w:trPr>
        <w:tc>
          <w:tcPr>
            <w:tcW w:w="469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5" w:rsidRPr="00A4469C" w:rsidRDefault="00DE1005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- Napomena za osobu koja pruža prvu pomoć/lekara:</w:t>
            </w:r>
          </w:p>
        </w:tc>
        <w:tc>
          <w:tcPr>
            <w:tcW w:w="63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E1005" w:rsidRPr="00A4469C" w:rsidRDefault="00DE1005" w:rsidP="00AD7EC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Nema podataka.</w:t>
            </w:r>
          </w:p>
        </w:tc>
      </w:tr>
      <w:tr w:rsidR="00DE1005" w:rsidTr="008D4825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05" w:rsidRPr="00A4469C" w:rsidRDefault="00DE1005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E1005" w:rsidRPr="00A4469C" w:rsidRDefault="00DE1005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8D4825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8D4825">
        <w:trPr>
          <w:trHeight w:val="53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8D4825" w:rsidP="008D482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Upotrebiti mere za gašenje požara koje odgovaraju lokalnim uslovi-ma i okolini.</w:t>
            </w:r>
          </w:p>
        </w:tc>
      </w:tr>
      <w:tr w:rsidR="00D51D00" w:rsidTr="00F63302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436CAD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F63302" w:rsidP="00436CAD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>
              <w:rPr>
                <w:rFonts w:ascii="Times-New-Roman" w:hAnsi="Times-New-Roman" w:cs="Times-New-Roman"/>
                <w:lang w:val="de-DE"/>
              </w:rPr>
              <w:t>vodu, penu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117B76" w:rsidRDefault="00D51D00" w:rsidP="00436CAD">
            <w:pPr>
              <w:autoSpaceDE w:val="0"/>
              <w:autoSpaceDN w:val="0"/>
              <w:adjustRightInd w:val="0"/>
              <w:spacing w:before="240" w:after="0"/>
              <w:jc w:val="right"/>
              <w:rPr>
                <w:rFonts w:ascii="Times-New-Roman" w:hAnsi="Times-New-Roman" w:cs="Times-New-Roman"/>
                <w:b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7E59D4" w:rsidP="00436CAD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BD78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zaštitnu opremu za respiratorni trakt.</w:t>
            </w:r>
          </w:p>
        </w:tc>
      </w:tr>
      <w:tr w:rsidR="00D51D00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63302" w:rsidP="00F6330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  <w:tr w:rsidR="00F63302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8D4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Izbegavati prašinu.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Nikakve posebne predostrožnosti nisu neophodne.</w:t>
            </w:r>
          </w:p>
        </w:tc>
      </w:tr>
      <w:tr w:rsidR="00F63302" w:rsidTr="00117B76">
        <w:trPr>
          <w:trHeight w:val="465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3302" w:rsidRPr="00A4469C" w:rsidRDefault="00F63302" w:rsidP="008D4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Sakupiti pros</w:t>
            </w:r>
            <w:r>
              <w:rPr>
                <w:rFonts w:ascii="Times-New-Roman" w:hAnsi="Times-New-Roman" w:cs="Times-New-Roman"/>
              </w:rPr>
              <w:t>uti</w:t>
            </w:r>
            <w:r w:rsidRPr="00A4469C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material</w:t>
            </w:r>
          </w:p>
        </w:tc>
      </w:tr>
      <w:tr w:rsidR="00F63302" w:rsidTr="00436CAD">
        <w:trPr>
          <w:trHeight w:val="44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  <w:tr w:rsidR="00F63302" w:rsidTr="001472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7. RUKOVANJE I SKLADIŠTENJE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436CAD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Pr="00ED030C" w:rsidRDefault="00F63302" w:rsidP="008D4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 mere lične zaštite videti tačku 8.  </w:t>
            </w:r>
            <w:r w:rsidR="008D4825">
              <w:rPr>
                <w:rFonts w:ascii="Times-New-Roman" w:hAnsi="Times-New-Roman" w:cs="Times-New-Roman"/>
              </w:rPr>
              <w:t>Nisu propisane posebne mere opreza pri rukovanju.</w:t>
            </w:r>
          </w:p>
        </w:tc>
      </w:tr>
      <w:tr w:rsidR="00F63302" w:rsidTr="00117B76">
        <w:trPr>
          <w:trHeight w:val="117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3302" w:rsidRPr="00A4469C" w:rsidRDefault="00F63302" w:rsidP="005D0B1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>
              <w:rPr>
                <w:rFonts w:ascii="Times-New-Roman" w:hAnsi="Times-New-Roman" w:cs="Times-New-Roman"/>
                <w:b/>
                <w:i/>
              </w:rPr>
              <w:t>Mere opreza protiv nastanka požara i eksplozije: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63302" w:rsidRDefault="00F63302" w:rsidP="00F633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Izbegavati formiranje naslaga prašine. Obezbediti odgovarajuću ventilaciju na mestima gde se formira prašina. Preduzeti mere opreza zbog </w:t>
            </w:r>
            <w:r w:rsidR="00B43815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436CAD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8D4825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8D4825" w:rsidRPr="0012537F" w:rsidRDefault="008D4825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8D4825" w:rsidRPr="00A4469C" w:rsidRDefault="008D4825" w:rsidP="008D48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Zaštititi od svetla. </w:t>
            </w:r>
          </w:p>
        </w:tc>
      </w:tr>
      <w:tr w:rsidR="008D4825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D4825" w:rsidRPr="00A4469C" w:rsidRDefault="008D4825" w:rsidP="00117B76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</w:p>
        </w:tc>
        <w:tc>
          <w:tcPr>
            <w:tcW w:w="6313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D4825" w:rsidRDefault="008D4825" w:rsidP="00D37D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Držati kontejner čvrsto zatvorenim i suvim</w:t>
            </w:r>
            <w:proofErr w:type="gramStart"/>
            <w:r>
              <w:rPr>
                <w:rFonts w:ascii="Times-New-Roman" w:hAnsi="Times-New-Roman" w:cs="Times-New-Roman"/>
              </w:rPr>
              <w:t>,  na</w:t>
            </w:r>
            <w:proofErr w:type="gramEnd"/>
            <w:r>
              <w:rPr>
                <w:rFonts w:ascii="Times-New-Roman" w:hAnsi="Times-New-Roman" w:cs="Times-New-Roman"/>
              </w:rPr>
              <w:t xml:space="preserve"> temperaturama         </w:t>
            </w:r>
            <w:r>
              <w:rPr>
                <w:rFonts w:ascii="Times New Roman" w:hAnsi="Times New Roman" w:cs="Times New Roman"/>
              </w:rPr>
              <w:t>&lt; 25</w:t>
            </w: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  <w:r>
              <w:rPr>
                <w:rFonts w:ascii="Times-New-Roman,Bold" w:hAnsi="Times-New-Roman,Bold" w:cs="Times-New-Roman,Bold"/>
                <w:bCs/>
              </w:rPr>
              <w:t>. Ne postoje nikakve posebne zabrane što se tiče skladištenja sa ostalim proizvodima.</w:t>
            </w:r>
            <w:r w:rsidR="00436CAD">
              <w:rPr>
                <w:rFonts w:ascii="Times-New-Roman,Bold" w:hAnsi="Times-New-Roman,Bold" w:cs="Times-New-Roman,Bold"/>
                <w:bCs/>
              </w:rPr>
              <w:t xml:space="preserve"> . Ne dolazi do raspada ukoliko se skladišti i rukuje kako je propisano.</w:t>
            </w:r>
          </w:p>
        </w:tc>
      </w:tr>
      <w:tr w:rsidR="00F63302" w:rsidTr="00117B76">
        <w:trPr>
          <w:trHeight w:val="70"/>
          <w:jc w:val="center"/>
        </w:trPr>
        <w:tc>
          <w:tcPr>
            <w:tcW w:w="469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63302" w:rsidRPr="00A4469C" w:rsidRDefault="00F63302" w:rsidP="00436CAD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F63302" w:rsidP="002A36C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F63302" w:rsidTr="00117B76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63302" w:rsidRPr="00A4469C" w:rsidRDefault="00EC2B94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F63302">
              <w:rPr>
                <w:rFonts w:ascii="Times-New-Roman" w:hAnsi="Times-New-Roman" w:cs="Times-New-Roman"/>
              </w:rPr>
              <w:t>.</w:t>
            </w:r>
          </w:p>
        </w:tc>
      </w:tr>
      <w:tr w:rsidR="00F63302" w:rsidTr="00EC2B94">
        <w:trPr>
          <w:trHeight w:val="80"/>
          <w:jc w:val="center"/>
        </w:trPr>
        <w:tc>
          <w:tcPr>
            <w:tcW w:w="469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313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63302" w:rsidRPr="00A4469C" w:rsidRDefault="00F63302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naznačeno.</w:t>
            </w:r>
          </w:p>
        </w:tc>
      </w:tr>
    </w:tbl>
    <w:p w:rsidR="008558C9" w:rsidRDefault="008558C9" w:rsidP="00EC2B9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1005" w:rsidRPr="002C21D4" w:rsidRDefault="00DE1005" w:rsidP="00DE10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Vitamin B12 1% Feed Grade)</w:t>
      </w:r>
    </w:p>
    <w:p w:rsidR="00DE1005" w:rsidRPr="002C21D4" w:rsidRDefault="00DE1005" w:rsidP="00DE1005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C6567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EC2B94" w:rsidRDefault="00EC2B94" w:rsidP="00EC2B9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3/</w:t>
      </w:r>
      <w:r w:rsidR="00215204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318"/>
        <w:gridCol w:w="2025"/>
        <w:gridCol w:w="315"/>
        <w:gridCol w:w="900"/>
        <w:gridCol w:w="2203"/>
        <w:gridCol w:w="1555"/>
        <w:gridCol w:w="9"/>
        <w:gridCol w:w="1646"/>
      </w:tblGrid>
      <w:tr w:rsidR="00F63302" w:rsidTr="00EC2B94">
        <w:trPr>
          <w:trHeight w:val="465"/>
          <w:jc w:val="center"/>
        </w:trPr>
        <w:tc>
          <w:tcPr>
            <w:tcW w:w="1100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63302" w:rsidRPr="00074FD9" w:rsidRDefault="00F63302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8. KONTROLA IZLOŽENOSTI I LIČNA ZAŠTITA</w:t>
            </w:r>
          </w:p>
        </w:tc>
      </w:tr>
      <w:tr w:rsidR="00EC2B94" w:rsidTr="0007476B">
        <w:trPr>
          <w:trHeight w:val="465"/>
          <w:jc w:val="center"/>
        </w:trPr>
        <w:tc>
          <w:tcPr>
            <w:tcW w:w="11006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Default="00EC2B94" w:rsidP="00117B7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  <w:r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  <w:p w:rsidR="00436CAD" w:rsidRPr="00A4469C" w:rsidRDefault="00436CAD" w:rsidP="00117B76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K</w:t>
            </w:r>
            <w:r w:rsidRPr="002654D2">
              <w:rPr>
                <w:rFonts w:ascii="Times-New-Roman,Bold" w:hAnsi="Times-New-Roman,Bold" w:cs="Times-New-Roman,Bold"/>
                <w:bCs/>
              </w:rPr>
              <w:t>omponente za koje je propisana granica izloženosti</w:t>
            </w:r>
            <w:r>
              <w:rPr>
                <w:rFonts w:ascii="Times-New-Roman,Bold" w:hAnsi="Times-New-Roman,Bold" w:cs="Times-New-Roman,Bold"/>
                <w:bCs/>
              </w:rPr>
              <w:t xml:space="preserve"> na radnom mestu</w:t>
            </w:r>
          </w:p>
        </w:tc>
      </w:tr>
      <w:tr w:rsidR="00EC2B94" w:rsidRPr="00A4469C" w:rsidTr="00FF16F5">
        <w:trPr>
          <w:trHeight w:val="5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5E4EBC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4EBC">
              <w:rPr>
                <w:rFonts w:ascii="Times New Roman" w:hAnsi="Times New Roman" w:cs="Times New Roman"/>
                <w:b/>
                <w:bCs/>
              </w:rPr>
              <w:t>Komponenta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5E4EBC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4EBC">
              <w:rPr>
                <w:rFonts w:ascii="Times New Roman" w:hAnsi="Times New Roman" w:cs="Times New Roman"/>
                <w:b/>
                <w:bCs/>
              </w:rPr>
              <w:t>CAS broj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FF16F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16F5">
              <w:rPr>
                <w:rFonts w:ascii="Times New Roman" w:hAnsi="Times New Roman" w:cs="Times New Roman"/>
                <w:b/>
              </w:rPr>
              <w:t>Vrednost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FF16F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16F5">
              <w:rPr>
                <w:rFonts w:ascii="Times New Roman" w:hAnsi="Times New Roman" w:cs="Times New Roman"/>
                <w:b/>
              </w:rPr>
              <w:t>Parametar kontro</w:t>
            </w:r>
            <w:bookmarkStart w:id="0" w:name="_GoBack"/>
            <w:bookmarkEnd w:id="0"/>
            <w:r w:rsidRPr="00FF16F5">
              <w:rPr>
                <w:rFonts w:ascii="Times New Roman" w:hAnsi="Times New Roman" w:cs="Times New Roman"/>
                <w:b/>
              </w:rPr>
              <w:t>le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FF16F5" w:rsidRDefault="00FF16F5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16F5">
              <w:rPr>
                <w:rFonts w:ascii="Times New Roman" w:hAnsi="Times New Roman" w:cs="Times New Roman"/>
                <w:b/>
              </w:rPr>
              <w:t>Ažurirano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FF16F5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16F5">
              <w:rPr>
                <w:rFonts w:ascii="Times New Roman" w:hAnsi="Times New Roman" w:cs="Times New Roman"/>
                <w:b/>
              </w:rPr>
              <w:t>Osnova</w:t>
            </w:r>
          </w:p>
        </w:tc>
      </w:tr>
      <w:tr w:rsidR="00436CAD" w:rsidRPr="00A4469C" w:rsidTr="00FF16F5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36CAD" w:rsidRPr="005E4EBC" w:rsidRDefault="00436CAD" w:rsidP="00D3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calcium carbonate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CAD" w:rsidRPr="005E4EBC" w:rsidRDefault="00436CAD" w:rsidP="00D3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471-34-1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CAD" w:rsidRPr="005E4EBC" w:rsidRDefault="00436CAD" w:rsidP="00D37D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CAD" w:rsidRPr="005E4EBC" w:rsidRDefault="00436CAD" w:rsidP="00D37D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10 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6CAD" w:rsidRPr="005E4EBC" w:rsidRDefault="00436CAD" w:rsidP="00D37D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436CAD" w:rsidRPr="005E4EBC" w:rsidRDefault="00436CAD" w:rsidP="00D37D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GB EH40</w:t>
            </w:r>
          </w:p>
        </w:tc>
      </w:tr>
      <w:tr w:rsidR="00EC2B94" w:rsidRPr="00A4469C" w:rsidTr="009C50E8">
        <w:trPr>
          <w:trHeight w:val="465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EC2B94" w:rsidRPr="005E4EBC" w:rsidRDefault="00EC2B94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EC2B94" w:rsidRPr="005E4EBC" w:rsidRDefault="00EC2B94" w:rsidP="00074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  <w:bCs/>
              </w:rPr>
              <w:t>udisanjem</w:t>
            </w:r>
          </w:p>
        </w:tc>
      </w:tr>
      <w:tr w:rsidR="00EC2B94" w:rsidRPr="00147F3F" w:rsidTr="009C50E8">
        <w:trPr>
          <w:trHeight w:val="1088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5E4EBC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Dodatne informacije: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94" w:rsidRPr="005E4EBC" w:rsidRDefault="00EC2B94" w:rsidP="000747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C2B94" w:rsidRPr="005E4EBC" w:rsidRDefault="00EC2B94" w:rsidP="00FF20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42: Po COSHH definiciji u supstance opasne po zdravlje ubraja se svaka prašina koja je u vazduhu prosutna u koncentraciji ≥ 10 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  <w:r w:rsidRPr="005E4EBC">
              <w:rPr>
                <w:rFonts w:ascii="Times New Roman" w:hAnsi="Times New Roman" w:cs="Times New Roman"/>
              </w:rPr>
              <w:t xml:space="preserve"> u toku 8 sati- prašina koja se može udahnuti, ili 4mg/m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  <w:r w:rsidRPr="005E4EBC">
              <w:rPr>
                <w:rFonts w:ascii="Times New Roman" w:hAnsi="Times New Roman" w:cs="Times New Roman"/>
              </w:rPr>
              <w:t xml:space="preserve"> u toku 8 sati respiratorne prašine. Ovo znači da će svaka prašina biti predmet COSHH ako su ljudi izloženi koncentraciji većoj od ovih. Mere o kontroli izloženosti su prikazane u EH44 i velika većina radnih mesta kod kojih su propisane ove mere će se držati ovih granica što se tiče izloženosti. Međutim </w:t>
            </w:r>
            <w:r w:rsidR="00FF20F4">
              <w:rPr>
                <w:rFonts w:ascii="Times New Roman" w:hAnsi="Times New Roman" w:cs="Times New Roman"/>
              </w:rPr>
              <w:t>ako je</w:t>
            </w:r>
            <w:r w:rsidRPr="005E4EBC">
              <w:rPr>
                <w:rFonts w:ascii="Times New Roman" w:hAnsi="Times New Roman" w:cs="Times New Roman"/>
              </w:rPr>
              <w:t xml:space="preserve"> prašini dodeljena oznaka WEL  izlaganje mora biti ispod propisane granice.</w:t>
            </w:r>
          </w:p>
        </w:tc>
      </w:tr>
      <w:tr w:rsidR="008558C9" w:rsidRPr="00147F3F" w:rsidTr="00FF16F5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0747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EC2B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4 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436CAD" w:rsidP="00DE10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8C9" w:rsidRPr="005E4EBC" w:rsidRDefault="008558C9" w:rsidP="00DE10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GB EH40</w:t>
            </w:r>
          </w:p>
        </w:tc>
      </w:tr>
      <w:tr w:rsidR="008558C9" w:rsidRPr="00147F3F" w:rsidTr="00DE1005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DE1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8C9" w:rsidRPr="005E4EBC" w:rsidRDefault="008558C9" w:rsidP="00DE10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  <w:bCs/>
              </w:rPr>
              <w:t>disanjem</w:t>
            </w:r>
          </w:p>
        </w:tc>
      </w:tr>
      <w:tr w:rsidR="00436CAD" w:rsidRPr="00147F3F" w:rsidTr="00FF16F5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AD" w:rsidRPr="00DE1005" w:rsidRDefault="00436CAD" w:rsidP="00D37D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cyanocobalamin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AD" w:rsidRDefault="00436CAD" w:rsidP="00D37D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68-19-9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AD" w:rsidRPr="005E4EBC" w:rsidRDefault="00436CAD" w:rsidP="00DE10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AD" w:rsidRPr="005E4EBC" w:rsidRDefault="00436CAD" w:rsidP="00DE10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Pr="005E4EBC">
              <w:rPr>
                <w:rFonts w:ascii="Times New Roman" w:hAnsi="Times New Roman" w:cs="Times New Roman"/>
              </w:rPr>
              <w:t xml:space="preserve"> 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AD" w:rsidRPr="005E4EBC" w:rsidRDefault="00436CAD" w:rsidP="00436C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7</w:t>
            </w:r>
            <w:r w:rsidRPr="005E4EB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5E4EB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36CAD" w:rsidRPr="005E4EBC" w:rsidRDefault="00436CAD" w:rsidP="00DE10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GB EH40</w:t>
            </w:r>
          </w:p>
        </w:tc>
      </w:tr>
      <w:tr w:rsidR="008558C9" w:rsidRPr="00147F3F" w:rsidTr="00DE1005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DE1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8C9" w:rsidRPr="005E4EBC" w:rsidRDefault="008558C9" w:rsidP="00DE10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  <w:bCs/>
              </w:rPr>
              <w:t>udisanjem</w:t>
            </w:r>
          </w:p>
        </w:tc>
      </w:tr>
      <w:tr w:rsidR="008558C9" w:rsidRPr="00147F3F" w:rsidTr="009C50E8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DE1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Dodatne informacije: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DE10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8C9" w:rsidRDefault="00436CAD" w:rsidP="00436C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2: </w:t>
            </w:r>
            <w:r w:rsidRPr="00186345">
              <w:rPr>
                <w:rFonts w:ascii="Times New Roman" w:hAnsi="Times New Roman" w:cs="Times New Roman"/>
              </w:rPr>
              <w:t>Tamo gde nije specificirana granica kratkoročne izloženosti, treba primeniti vrednost granice dobijene množenjem vrednosti granice dugoročne izloženosti sa koeficijentom 3.</w:t>
            </w:r>
          </w:p>
          <w:p w:rsidR="002024E4" w:rsidRPr="005E4EBC" w:rsidRDefault="002024E4" w:rsidP="002024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Kao kod kobalta.</w:t>
            </w:r>
          </w:p>
        </w:tc>
      </w:tr>
      <w:tr w:rsidR="00FA0522" w:rsidRPr="00147F3F" w:rsidTr="00FF16F5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22" w:rsidRPr="005E4EBC" w:rsidRDefault="00FA0522" w:rsidP="00DE1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22" w:rsidRPr="005E4EBC" w:rsidRDefault="00FA0522" w:rsidP="00DE1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22" w:rsidRPr="005E4EBC" w:rsidRDefault="00FA0522" w:rsidP="00DE10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TWA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22" w:rsidRPr="005E4EBC" w:rsidRDefault="00FA0522" w:rsidP="00DE10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4 mg/m</w:t>
            </w:r>
            <w:r w:rsidRPr="005E4E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22" w:rsidRPr="005E4EBC" w:rsidRDefault="00FA0522" w:rsidP="00DE10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2005-04-06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A0522" w:rsidRPr="005E4EBC" w:rsidRDefault="00FA0522" w:rsidP="00DE10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</w:rPr>
              <w:t>GB EH40</w:t>
            </w:r>
          </w:p>
        </w:tc>
      </w:tr>
      <w:tr w:rsidR="008558C9" w:rsidRPr="00147F3F" w:rsidTr="00DE1005">
        <w:trPr>
          <w:trHeight w:val="70"/>
          <w:jc w:val="center"/>
        </w:trPr>
        <w:tc>
          <w:tcPr>
            <w:tcW w:w="20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C9" w:rsidRPr="005E4EBC" w:rsidRDefault="008558C9" w:rsidP="00DE1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E4EBC">
              <w:rPr>
                <w:rFonts w:ascii="Times New Roman" w:hAnsi="Times New Roman" w:cs="Times New Roman"/>
                <w:bCs/>
              </w:rPr>
              <w:t>Način izlaganja</w:t>
            </w:r>
          </w:p>
        </w:tc>
        <w:tc>
          <w:tcPr>
            <w:tcW w:w="8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8C9" w:rsidRPr="005E4EBC" w:rsidRDefault="008558C9" w:rsidP="00DE10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E4EBC">
              <w:rPr>
                <w:rFonts w:ascii="Times New Roman" w:hAnsi="Times New Roman" w:cs="Times New Roman"/>
                <w:bCs/>
              </w:rPr>
              <w:t>disanjem</w:t>
            </w:r>
          </w:p>
        </w:tc>
      </w:tr>
      <w:tr w:rsidR="009C50E8" w:rsidTr="008558C9">
        <w:trPr>
          <w:trHeight w:val="70"/>
          <w:jc w:val="center"/>
        </w:trPr>
        <w:tc>
          <w:tcPr>
            <w:tcW w:w="469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Default="009C50E8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Default="009C50E8" w:rsidP="002866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</w:p>
        </w:tc>
      </w:tr>
      <w:tr w:rsidR="009C50E8" w:rsidTr="00CD1990">
        <w:trPr>
          <w:trHeight w:val="162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9C50E8" w:rsidTr="00CD1990">
        <w:trPr>
          <w:trHeight w:val="80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0E8" w:rsidRPr="00A4469C" w:rsidRDefault="009C50E8" w:rsidP="00117B7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C50E8" w:rsidRPr="00A4469C" w:rsidRDefault="009C50E8" w:rsidP="00117B7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Videti tačku 7.</w:t>
            </w:r>
          </w:p>
        </w:tc>
      </w:tr>
      <w:tr w:rsidR="009C50E8" w:rsidTr="00CD1990">
        <w:trPr>
          <w:trHeight w:val="70"/>
          <w:jc w:val="center"/>
        </w:trPr>
        <w:tc>
          <w:tcPr>
            <w:tcW w:w="469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9C50E8" w:rsidTr="00CD1990">
        <w:trPr>
          <w:trHeight w:val="80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CD199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9C50E8" w:rsidTr="00CD1990">
        <w:trPr>
          <w:trHeight w:val="465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2024E4" w:rsidP="0028690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Zaštita organa za disanje pri normalnim uslovima rada nije neophodna. U slučaju velike koncentracije prašine koristiti masku primenjivu u datim uslovima. </w:t>
            </w:r>
          </w:p>
        </w:tc>
      </w:tr>
      <w:tr w:rsidR="009C50E8" w:rsidTr="002024E4">
        <w:trPr>
          <w:trHeight w:val="80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2024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9C50E8" w:rsidP="002024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za rukavice: npr. nitrilna guma. </w:t>
            </w:r>
          </w:p>
        </w:tc>
      </w:tr>
      <w:tr w:rsidR="009C50E8" w:rsidTr="002024E4">
        <w:trPr>
          <w:trHeight w:val="80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C7284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9C50E8" w:rsidP="002024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naočare.</w:t>
            </w:r>
          </w:p>
        </w:tc>
      </w:tr>
      <w:tr w:rsidR="009C50E8" w:rsidTr="002024E4">
        <w:trPr>
          <w:trHeight w:val="80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9C50E8" w:rsidRPr="00A4469C" w:rsidRDefault="009C50E8" w:rsidP="002024E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9C50E8" w:rsidRPr="00A4469C" w:rsidRDefault="002024E4" w:rsidP="008302D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zaštitno odelo.</w:t>
            </w:r>
          </w:p>
        </w:tc>
      </w:tr>
      <w:tr w:rsidR="009C50E8" w:rsidTr="00CD1990">
        <w:trPr>
          <w:trHeight w:val="80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C50E8" w:rsidRPr="00A4469C" w:rsidRDefault="009C50E8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C50E8" w:rsidRPr="00A4469C" w:rsidRDefault="009C50E8" w:rsidP="002024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Upravljati se u skladu sa principima održavanja higijene i primene bezbednosnih mera na radnom mestu. </w:t>
            </w:r>
          </w:p>
        </w:tc>
      </w:tr>
      <w:tr w:rsidR="009C50E8" w:rsidTr="00CD1990">
        <w:trPr>
          <w:trHeight w:val="70"/>
          <w:jc w:val="center"/>
        </w:trPr>
        <w:tc>
          <w:tcPr>
            <w:tcW w:w="4693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9C50E8" w:rsidRPr="00A4469C" w:rsidRDefault="009C50E8" w:rsidP="002024E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3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9C50E8" w:rsidRPr="00A4469C" w:rsidRDefault="009C50E8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9C50E8" w:rsidTr="002024E4">
        <w:trPr>
          <w:trHeight w:val="80"/>
          <w:jc w:val="center"/>
        </w:trPr>
        <w:tc>
          <w:tcPr>
            <w:tcW w:w="4693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C50E8" w:rsidRPr="00A4469C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313" w:type="dxa"/>
            <w:gridSpan w:val="5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C50E8" w:rsidRPr="00DC4F00" w:rsidRDefault="009C50E8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2024E4" w:rsidRPr="002C21D4" w:rsidRDefault="002024E4" w:rsidP="002024E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Vitamin B12 1% Feed Grade)</w:t>
      </w:r>
    </w:p>
    <w:p w:rsidR="002024E4" w:rsidRPr="002C21D4" w:rsidRDefault="002024E4" w:rsidP="002024E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C6567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024E4" w:rsidRDefault="002024E4" w:rsidP="002024E4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4/</w:t>
      </w:r>
      <w:r w:rsidR="00215204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50"/>
        <w:gridCol w:w="1260"/>
        <w:gridCol w:w="5053"/>
      </w:tblGrid>
      <w:tr w:rsidR="0028690C" w:rsidTr="002024E4">
        <w:trPr>
          <w:trHeight w:val="215"/>
          <w:jc w:val="center"/>
        </w:trPr>
        <w:tc>
          <w:tcPr>
            <w:tcW w:w="110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8690C" w:rsidRPr="00074FD9" w:rsidRDefault="0028690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9. FIZIČKA I HEMIJSKA SVOJSTVA</w:t>
            </w:r>
          </w:p>
        </w:tc>
      </w:tr>
      <w:tr w:rsidR="0028690C" w:rsidTr="00F21701">
        <w:trPr>
          <w:trHeight w:val="70"/>
          <w:jc w:val="center"/>
        </w:trPr>
        <w:tc>
          <w:tcPr>
            <w:tcW w:w="4693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8690C" w:rsidTr="00F2170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28690C" w:rsidP="002024E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 xml:space="preserve">U obliku </w:t>
            </w:r>
            <w:r w:rsidR="002024E4">
              <w:rPr>
                <w:rFonts w:ascii="Times-New-Roman" w:hAnsi="Times-New-Roman" w:cs="Times-New-Roman"/>
              </w:rPr>
              <w:t>finog praha</w:t>
            </w:r>
          </w:p>
        </w:tc>
      </w:tr>
      <w:tr w:rsidR="0028690C" w:rsidTr="00EC2B94">
        <w:trPr>
          <w:trHeight w:val="355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90C" w:rsidRPr="00A4469C" w:rsidRDefault="002024E4" w:rsidP="002024E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Crvenkasto-braon</w:t>
            </w:r>
            <w:r w:rsidR="0028690C"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28690C" w:rsidTr="00F21701">
        <w:trPr>
          <w:trHeight w:val="80"/>
          <w:jc w:val="center"/>
        </w:trPr>
        <w:tc>
          <w:tcPr>
            <w:tcW w:w="4693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Miris:</w:t>
            </w:r>
          </w:p>
        </w:tc>
        <w:tc>
          <w:tcPr>
            <w:tcW w:w="6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8690C" w:rsidRPr="0032758A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</w:t>
            </w:r>
            <w:r w:rsidR="00CD1990">
              <w:rPr>
                <w:rFonts w:ascii="Times-New-Roman" w:hAnsi="Times-New-Roman" w:cs="Times-New-Roman"/>
              </w:rPr>
              <w:t>ma</w:t>
            </w:r>
            <w:r>
              <w:rPr>
                <w:rFonts w:ascii="Times-New-Roman" w:hAnsi="Times-New-Roman" w:cs="Times-New-Roman"/>
              </w:rPr>
              <w:t xml:space="preserve"> podataka.</w:t>
            </w:r>
          </w:p>
        </w:tc>
      </w:tr>
      <w:tr w:rsidR="0028690C" w:rsidTr="00054A79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  <w:r>
              <w:rPr>
                <w:rFonts w:ascii="Times-New-Roman,Bold" w:hAnsi="Times-New-Roman,Bold" w:cs="Times-New-Roman,Bold"/>
                <w:b/>
                <w:bCs/>
              </w:rPr>
              <w:t xml:space="preserve">  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054A7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997573" w:rsidP="0099757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Nije zapaljiv proizvod.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95276B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95276B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95276B">
              <w:rPr>
                <w:rFonts w:ascii="Times-New-Roman" w:hAnsi="Times-New-Roman" w:cs="Times-New-Roman"/>
                <w:lang w:val="de-DE"/>
              </w:rPr>
              <w:t>Nema podataka</w:t>
            </w:r>
            <w:r w:rsidRPr="0095276B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32758A" w:rsidRDefault="00F21701" w:rsidP="00F2170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>
              <w:rPr>
                <w:rFonts w:ascii="Times-New-Roman" w:hAnsi="Times-New-Roman" w:cs="Times-New-Roman"/>
                <w:color w:val="000000"/>
              </w:rPr>
              <w:t>k</w:t>
            </w:r>
            <w:r w:rsidR="0028690C"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28690C">
              <w:rPr>
                <w:rFonts w:ascii="Times-New-Roman" w:hAnsi="Times-New-Roman" w:cs="Times-New-Roman"/>
                <w:color w:val="000000"/>
              </w:rPr>
              <w:t>m</w:t>
            </w:r>
            <w:r w:rsidR="0028690C">
              <w:rPr>
                <w:rFonts w:ascii="Times-New-Roman" w:hAnsi="Times-New-Roman" w:cs="Times-New-Roman"/>
                <w:color w:val="000000"/>
                <w:vertAlign w:val="superscript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024E4" w:rsidP="009527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C7284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024E4" w:rsidP="002024E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Praktično nerastvoran proizvod.</w:t>
            </w:r>
          </w:p>
        </w:tc>
      </w:tr>
      <w:tr w:rsidR="0028690C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1C656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8690C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28690C" w:rsidTr="00F21701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90C" w:rsidRPr="00A4469C" w:rsidRDefault="0028690C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690C" w:rsidRPr="00A4469C" w:rsidRDefault="0028690C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28690C" w:rsidTr="00F21701">
        <w:trPr>
          <w:trHeight w:val="377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952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28690C" w:rsidTr="00BE2459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28690C" w:rsidTr="0028690C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28690C" w:rsidRPr="00A4469C" w:rsidRDefault="0028690C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28690C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-Grupa opreme i sistema zaštite koji su na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sima i standardima koji uređuju</w:t>
            </w:r>
            <w:r w:rsidR="00BE2459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ovu oblast: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BE245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997573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997573" w:rsidRPr="00A4469C" w:rsidTr="00997573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997573" w:rsidRPr="00A4469C" w:rsidRDefault="00997573" w:rsidP="00D37D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Indeks zapaljivosti deponovane prašine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573" w:rsidRPr="00A4469C" w:rsidRDefault="00997573" w:rsidP="00D37D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97573" w:rsidRPr="00A4469C" w:rsidRDefault="00997573" w:rsidP="00D37DF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1 (ca. 22</w:t>
            </w:r>
            <w:r w:rsidRPr="006228A1">
              <w:rPr>
                <w:rFonts w:ascii="Times-New-Roman" w:hAnsi="Times-New-Roman" w:cs="Times-New-Roman"/>
                <w:lang w:val="de-DE"/>
              </w:rPr>
              <w:t>°C)</w:t>
            </w:r>
          </w:p>
        </w:tc>
      </w:tr>
      <w:tr w:rsidR="00997573" w:rsidTr="00997573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997573" w:rsidRDefault="00997573" w:rsidP="00D37D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Klasa eksplozivnosti prašine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7573" w:rsidRPr="00A4469C" w:rsidRDefault="00997573" w:rsidP="00D37D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97573" w:rsidRDefault="00997573" w:rsidP="0099757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Uzorak nije mogao biti zapaljen pri uslovima testa(Hartmanova cev). (uzorak proizvoda; srednja vrednost testiranog uzorka </w:t>
            </w:r>
            <w:r>
              <w:rPr>
                <w:rFonts w:ascii="Times New Roman" w:hAnsi="Times New Roman" w:cs="Times New Roman"/>
                <w:lang w:val="de-DE"/>
              </w:rPr>
              <w:t>&lt;</w:t>
            </w:r>
            <w:r>
              <w:rPr>
                <w:rFonts w:ascii="Times-New-Roman" w:hAnsi="Times-New-Roman" w:cs="Times-New-Roman"/>
                <w:lang w:val="de-DE"/>
              </w:rPr>
              <w:t xml:space="preserve"> 0,063 mm, gubitak pri sušenju </w:t>
            </w:r>
            <w:r>
              <w:rPr>
                <w:rFonts w:ascii="Times New Roman" w:hAnsi="Times New Roman" w:cs="Times New Roman"/>
                <w:lang w:val="de-DE"/>
              </w:rPr>
              <w:t>&lt;</w:t>
            </w:r>
            <w:r>
              <w:rPr>
                <w:rFonts w:ascii="Times-New-Roman" w:hAnsi="Times-New-Roman" w:cs="Times-New-Roman"/>
                <w:lang w:val="de-DE"/>
              </w:rPr>
              <w:t xml:space="preserve"> 2 %)</w:t>
            </w:r>
          </w:p>
        </w:tc>
      </w:tr>
      <w:tr w:rsidR="00997573" w:rsidTr="00997573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997573" w:rsidRDefault="00997573" w:rsidP="00D37D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Minimalna temperatura paljenja mešavine prašina/vazduh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97573" w:rsidRPr="00A4469C" w:rsidRDefault="00997573" w:rsidP="00D37D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97573" w:rsidRDefault="00997573" w:rsidP="0099757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997573">
              <w:rPr>
                <w:rFonts w:ascii="Times-New-Roman" w:hAnsi="Times-New-Roman" w:cs="Times-New-Roman"/>
                <w:lang w:val="de-DE"/>
              </w:rPr>
              <w:t>&gt;</w:t>
            </w:r>
            <w:r>
              <w:rPr>
                <w:rFonts w:ascii="Times-New-Roman" w:hAnsi="Times-New-Roman" w:cs="Times-New-Roman"/>
                <w:lang w:val="de-DE"/>
              </w:rPr>
              <w:t xml:space="preserve"> 580</w:t>
            </w:r>
            <w:r w:rsidRPr="006228A1">
              <w:rPr>
                <w:rFonts w:ascii="Times-New-Roman" w:hAnsi="Times-New-Roman" w:cs="Times-New-Roman"/>
                <w:lang w:val="de-DE"/>
              </w:rPr>
              <w:t>°C (određena u BAM pećnici)</w:t>
            </w:r>
          </w:p>
        </w:tc>
      </w:tr>
    </w:tbl>
    <w:p w:rsidR="00997573" w:rsidRPr="002C21D4" w:rsidRDefault="00997573" w:rsidP="009975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Vitamin B12 1% Feed Grade)</w:t>
      </w:r>
    </w:p>
    <w:p w:rsidR="00997573" w:rsidRPr="002C21D4" w:rsidRDefault="00997573" w:rsidP="00997573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C6567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997573" w:rsidRDefault="00997573" w:rsidP="00997573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5/</w:t>
      </w:r>
      <w:r w:rsidR="00215204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631"/>
        <w:gridCol w:w="1079"/>
        <w:gridCol w:w="5053"/>
      </w:tblGrid>
      <w:tr w:rsidR="00997573" w:rsidTr="00997573">
        <w:trPr>
          <w:trHeight w:val="80"/>
          <w:jc w:val="center"/>
        </w:trPr>
        <w:tc>
          <w:tcPr>
            <w:tcW w:w="42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997573" w:rsidRDefault="00997573" w:rsidP="00D37D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lastRenderedPageBreak/>
              <w:t>Otpornost zapremine praha</w:t>
            </w:r>
          </w:p>
        </w:tc>
        <w:tc>
          <w:tcPr>
            <w:tcW w:w="171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573" w:rsidRPr="00A4469C" w:rsidRDefault="00997573" w:rsidP="00D37DF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  <w:lang w:val="de-DE"/>
              </w:rPr>
            </w:pPr>
          </w:p>
        </w:tc>
        <w:tc>
          <w:tcPr>
            <w:tcW w:w="5053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97573" w:rsidRDefault="00997573" w:rsidP="00D37DF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ca. 1E+12 Oma(uzorak proizvoda, 73%, </w:t>
            </w:r>
            <w:r>
              <w:rPr>
                <w:rFonts w:ascii="Times New Roman" w:hAnsi="Times New Roman" w:cs="Times New Roman"/>
                <w:lang w:val="de-DE"/>
              </w:rPr>
              <w:t>&lt;</w:t>
            </w:r>
            <w:r>
              <w:rPr>
                <w:rFonts w:ascii="Times-New-Roman" w:hAnsi="Times-New-Roman" w:cs="Times-New-Roman"/>
                <w:lang w:val="de-DE"/>
              </w:rPr>
              <w:t xml:space="preserve"> 0,160 mm, gubitak pri sušenju </w:t>
            </w:r>
            <w:r>
              <w:rPr>
                <w:rFonts w:ascii="Times New Roman" w:hAnsi="Times New Roman" w:cs="Times New Roman"/>
                <w:lang w:val="de-DE"/>
              </w:rPr>
              <w:t>&lt;</w:t>
            </w:r>
            <w:r>
              <w:rPr>
                <w:rFonts w:ascii="Times-New-Roman" w:hAnsi="Times-New-Roman" w:cs="Times-New-Roman"/>
                <w:lang w:val="de-DE"/>
              </w:rPr>
              <w:t xml:space="preserve"> 2%) </w:t>
            </w:r>
          </w:p>
          <w:p w:rsidR="00997573" w:rsidRDefault="00997573" w:rsidP="00A56A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Materijal ima sposobnost akumulacije </w:t>
            </w:r>
            <w:r w:rsidR="00A56A66">
              <w:rPr>
                <w:rFonts w:ascii="Times-New-Roman" w:hAnsi="Times-New-Roman" w:cs="Times-New-Roman"/>
              </w:rPr>
              <w:t>statičkog elektriciteta</w:t>
            </w:r>
            <w:r>
              <w:rPr>
                <w:rFonts w:ascii="Times-New-Roman" w:hAnsi="Times-New-Roman" w:cs="Times-New-Roman"/>
                <w:lang w:val="de-DE"/>
              </w:rPr>
              <w:t xml:space="preserve"> i može izazvati požar)</w:t>
            </w:r>
          </w:p>
        </w:tc>
      </w:tr>
      <w:tr w:rsidR="0095276B" w:rsidTr="00997573">
        <w:trPr>
          <w:trHeight w:val="7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5276B" w:rsidRPr="00F103C0" w:rsidRDefault="0095276B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10. STABILNOST I REAKTIVNOST</w:t>
            </w:r>
          </w:p>
        </w:tc>
      </w:tr>
      <w:tr w:rsidR="00054A79" w:rsidTr="006E68A5">
        <w:trPr>
          <w:trHeight w:val="422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4A79" w:rsidRPr="005252C9" w:rsidRDefault="005252C9" w:rsidP="0099757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</w:pPr>
            <w:r w:rsidRPr="005252C9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>Proizvod je stabilan pri uslovima opisanim u tački 7.</w:t>
            </w:r>
            <w:r w:rsidR="0028690C">
              <w:rPr>
                <w:rFonts w:ascii="Times-New-Roman,Bold" w:hAnsi="Times-New-Roman,Bold" w:cs="Times-New-Roman,Bold"/>
                <w:bCs/>
                <w:sz w:val="24"/>
                <w:szCs w:val="24"/>
                <w:lang w:val="de-DE"/>
              </w:rPr>
              <w:t xml:space="preserve"> 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28690C" w:rsidP="006E68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Toplota.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054A79" w:rsidRDefault="0095276B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-Jake </w:t>
            </w:r>
            <w:r w:rsidR="00054A79">
              <w:rPr>
                <w:rFonts w:ascii="Times-New-Roman,Bold" w:hAnsi="Times-New-Roman,Bold" w:cs="Times-New-Roman,Bold"/>
                <w:bCs/>
                <w:lang w:val="de-DE"/>
              </w:rPr>
              <w:t>kiseline i jake baze.</w:t>
            </w:r>
            <w:r w:rsidR="006E68A5">
              <w:rPr>
                <w:rFonts w:ascii="Times-New-Roman,Bold" w:hAnsi="Times-New-Roman,Bold" w:cs="Times-New-Roman,Bold"/>
                <w:bCs/>
                <w:lang w:val="de-DE"/>
              </w:rPr>
              <w:t xml:space="preserve"> Jaka oksidaciona sredstva.</w:t>
            </w:r>
          </w:p>
        </w:tc>
      </w:tr>
      <w:tr w:rsidR="0095276B" w:rsidTr="00CD1990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5276B" w:rsidRPr="00A4469C" w:rsidRDefault="0095276B" w:rsidP="006E68A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276B" w:rsidRPr="00A4469C" w:rsidRDefault="005252C9" w:rsidP="006E68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Nema</w:t>
            </w:r>
            <w:r w:rsidR="0095276B">
              <w:rPr>
                <w:rFonts w:ascii="Times-New-Roman" w:hAnsi="Times-New-Roman" w:cs="Times-New-Roman"/>
                <w:lang w:val="de-DE"/>
              </w:rPr>
              <w:t xml:space="preserve">. </w:t>
            </w:r>
          </w:p>
        </w:tc>
      </w:tr>
      <w:tr w:rsidR="00F103C0" w:rsidTr="00CD1990">
        <w:trPr>
          <w:trHeight w:val="2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6E68A5">
        <w:trPr>
          <w:trHeight w:val="242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2152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2152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6E68A5">
        <w:trPr>
          <w:trHeight w:val="153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5252C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5252C9" w:rsidRDefault="00997573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 xml:space="preserve">LD50 </w:t>
            </w:r>
            <w:r>
              <w:rPr>
                <w:rFonts w:ascii="Times New Roman" w:hAnsi="Times New Roman" w:cs="Times New Roman"/>
              </w:rPr>
              <w:t>&gt;</w:t>
            </w:r>
            <w:r>
              <w:rPr>
                <w:rFonts w:ascii="Times-New-Roman" w:hAnsi="Times-New-Roman" w:cs="Times-New-Roman"/>
              </w:rPr>
              <w:t xml:space="preserve"> 5 000 mg/kg (pacov)-izračunata vrednost iz podataka o LD50 vrednosti za komponente</w:t>
            </w:r>
          </w:p>
        </w:tc>
      </w:tr>
      <w:tr w:rsidR="005252C9" w:rsidTr="006E68A5">
        <w:trPr>
          <w:trHeight w:val="13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5252C9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407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7E419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" w:hAnsi="Times-New-Roman" w:cs="Times-New-Roman"/>
                <w:i/>
              </w:rPr>
              <w:t>K</w:t>
            </w:r>
            <w:r w:rsidRPr="00A4469C">
              <w:rPr>
                <w:rFonts w:ascii="Times-New-Roman" w:hAnsi="Times-New-Roman" w:cs="Times-New-Roman"/>
                <w:i/>
              </w:rPr>
              <w:t>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215204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2152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2152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465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41337C">
        <w:trPr>
          <w:trHeight w:val="162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41337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215204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215204" w:rsidRDefault="005252C9" w:rsidP="002152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15204">
              <w:rPr>
                <w:rFonts w:ascii="Times New Roman" w:hAnsi="Times New Roman" w:cs="Times New Roman"/>
                <w:b/>
                <w:i/>
              </w:rPr>
              <w:t xml:space="preserve">Koža: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997573" w:rsidP="0099757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Pri dužem kontaktu kože sa prašinom može doći do iritacije. Može dovesti do obezbojenja kože.</w:t>
            </w:r>
          </w:p>
        </w:tc>
      </w:tr>
      <w:tr w:rsidR="005252C9" w:rsidTr="00215204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215204" w:rsidRDefault="005252C9" w:rsidP="002152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15204">
              <w:rPr>
                <w:rFonts w:ascii="Times New Roman" w:hAnsi="Times New Roman" w:cs="Times New Roman"/>
                <w:b/>
                <w:i/>
              </w:rPr>
              <w:t xml:space="preserve">Oči:                                                                 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997573" w:rsidP="006E68A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Pri kontaktu sa prašinom može doći do mehaničke iritacije oka.</w:t>
            </w:r>
          </w:p>
        </w:tc>
      </w:tr>
      <w:tr w:rsidR="005252C9" w:rsidTr="00CD1990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252C9" w:rsidRPr="00215204" w:rsidRDefault="005252C9" w:rsidP="0021520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215204">
              <w:rPr>
                <w:rFonts w:ascii="Times New Roman" w:hAnsi="Times New Roman" w:cs="Times New Roman"/>
                <w:b/>
                <w:i/>
              </w:rPr>
              <w:t>Disajni putevi: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252C9" w:rsidRPr="006E68A5" w:rsidRDefault="00215204" w:rsidP="00F2170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FF0000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5252C9" w:rsidTr="006E68A5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5252C9" w:rsidTr="006E68A5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F21701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ED42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ED42C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215204" w:rsidP="001B1D2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6E68A5" w:rsidP="005252C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7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5252C9" w:rsidTr="001B1D22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5252C9" w:rsidTr="001B1D22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5252C9" w:rsidRPr="00A4469C" w:rsidRDefault="005252C9" w:rsidP="00EF5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5252C9" w:rsidRPr="00A4469C" w:rsidRDefault="005252C9" w:rsidP="007D59B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7D59B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6812B4" w:rsidTr="00AB4E3D">
        <w:trPr>
          <w:trHeight w:val="503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12. EKOTOKSIKOLOŠKI  PODACI</w:t>
            </w:r>
          </w:p>
        </w:tc>
      </w:tr>
      <w:tr w:rsidR="006812B4" w:rsidTr="001B1D22">
        <w:trPr>
          <w:trHeight w:val="70"/>
          <w:jc w:val="center"/>
        </w:trPr>
        <w:tc>
          <w:tcPr>
            <w:tcW w:w="4874" w:type="dxa"/>
            <w:gridSpan w:val="2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1B1D2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1B1D22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Default="001B1D22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4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gridSpan w:val="2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</w:tbl>
    <w:p w:rsidR="00DE1005" w:rsidRPr="002C21D4" w:rsidRDefault="00DE1005" w:rsidP="00DE10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Vitamin B12 1% Feed Grade)</w:t>
      </w:r>
    </w:p>
    <w:p w:rsidR="00DE1005" w:rsidRPr="002C21D4" w:rsidRDefault="00DE1005" w:rsidP="00DE1005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C6567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B1D22" w:rsidRDefault="001B1D22" w:rsidP="001B1D22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9A04C5">
        <w:rPr>
          <w:rFonts w:ascii="Times New Roman" w:hAnsi="Times New Roman" w:cs="Times New Roman"/>
        </w:rPr>
        <w:t>/</w:t>
      </w:r>
      <w:r w:rsidR="00215204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6E68A5" w:rsidTr="001B1D22">
        <w:trPr>
          <w:trHeight w:val="458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E68A5" w:rsidRPr="00A4469C" w:rsidRDefault="006E68A5" w:rsidP="00AB4E3D">
            <w:pPr>
              <w:autoSpaceDE w:val="0"/>
              <w:autoSpaceDN w:val="0"/>
              <w:adjustRightInd w:val="0"/>
              <w:spacing w:before="240"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12.2. Mobilnost</w:t>
            </w:r>
          </w:p>
        </w:tc>
        <w:tc>
          <w:tcPr>
            <w:tcW w:w="6133" w:type="dxa"/>
            <w:tcBorders>
              <w:top w:val="thinThick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E68A5" w:rsidTr="001B1D22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E68A5" w:rsidTr="001B1D22">
        <w:trPr>
          <w:trHeight w:val="36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Default="00215204" w:rsidP="002152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Nije odmah biorazgradljiv.Test supstanca:aktivni sastojak.</w:t>
            </w:r>
          </w:p>
          <w:p w:rsidR="00215204" w:rsidRPr="00A4469C" w:rsidRDefault="00215204" w:rsidP="002152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Metoda određivanja biorazgradljivosti nije primenjiva na neorgan-ske supstance. Podatak se odnosi na glavnu komponentu.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1B1D22">
        <w:trPr>
          <w:trHeight w:val="2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1B1D22">
        <w:trPr>
          <w:trHeight w:val="45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E68A5" w:rsidTr="001B1D22">
        <w:trPr>
          <w:trHeight w:val="36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E68A5" w:rsidRPr="00A4469C" w:rsidRDefault="006E68A5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E68A5" w:rsidTr="001B1D22">
        <w:trPr>
          <w:trHeight w:val="36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D3255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1C6567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6E68A5" w:rsidTr="001B1D22">
        <w:trPr>
          <w:trHeight w:val="14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1B1D22">
        <w:trPr>
          <w:trHeight w:val="1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1B1D22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E68A5" w:rsidTr="001B1D22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E68A5" w:rsidRPr="00A4469C" w:rsidRDefault="006E68A5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68A5" w:rsidRPr="00A4469C" w:rsidRDefault="006E68A5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15204" w:rsidTr="009227CB">
        <w:trPr>
          <w:trHeight w:val="80"/>
          <w:jc w:val="center"/>
        </w:trPr>
        <w:tc>
          <w:tcPr>
            <w:tcW w:w="11006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15204" w:rsidRPr="00A4469C" w:rsidRDefault="00215204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b/>
                <w:i/>
              </w:rPr>
              <w:t>Za ovaj proizvod nisu dostupni dodatni ekološki podaci.</w:t>
            </w:r>
          </w:p>
        </w:tc>
      </w:tr>
      <w:tr w:rsidR="0045717F" w:rsidTr="001B1D22">
        <w:trPr>
          <w:trHeight w:val="2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E6184E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</w:t>
            </w:r>
            <w:r w:rsidR="0045717F"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3. TRETMAN I ODLAGANJE OTPADA</w:t>
            </w:r>
          </w:p>
        </w:tc>
      </w:tr>
      <w:tr w:rsidR="0045717F" w:rsidTr="00215204">
        <w:trPr>
          <w:trHeight w:val="9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AB4E3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21520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Ponuditi ostatke i nereciklirajuće rastvore licenciranim firmama koje se bave odlaganjem otpada. </w:t>
            </w:r>
          </w:p>
        </w:tc>
      </w:tr>
      <w:tr w:rsidR="0041337C" w:rsidTr="00E21BDC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1C6567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Zagađena</w:t>
            </w:r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r w:rsidR="0041337C" w:rsidRPr="00A4469C">
              <w:rPr>
                <w:rFonts w:ascii="Times-New-Roman" w:hAnsi="Times-New-Roman" w:cs="Times-New-Roman"/>
                <w:i/>
              </w:rPr>
              <w:t>ambalaža</w:t>
            </w:r>
            <w:r w:rsidR="0041337C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215204" w:rsidP="000747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Prazne kontejnere predati na recikliranje ili odlaganje.</w:t>
            </w:r>
            <w:r w:rsidR="001C6567" w:rsidRPr="00AE7A75">
              <w:rPr>
                <w:rFonts w:ascii="Times New Roman" w:hAnsi="Times New Roman" w:cs="Times New Roman"/>
                <w:lang w:val="sr-Latn-RS"/>
              </w:rPr>
              <w:t xml:space="preserve"> Sa ambalažom postupiti u skladu sa Zakonom o ambalaži i ambalažnom otpadu („Sl.glasnik RS“, br.36/09).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07476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</w:tc>
      </w:tr>
      <w:tr w:rsidR="0041337C" w:rsidTr="00394137">
        <w:trPr>
          <w:trHeight w:val="70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45717F" w:rsidRDefault="0041337C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1337C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Nije predmet prevoza ADR/RID.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 xml:space="preserve">Ovaj proizvod nije </w:t>
            </w:r>
            <w:r>
              <w:rPr>
                <w:rFonts w:ascii="Times-New-Roman" w:hAnsi="Times-New-Roman" w:cs="Times-New-Roman"/>
              </w:rPr>
              <w:t>klasifikovan kao opasan</w:t>
            </w:r>
            <w:r w:rsidRPr="00A4469C">
              <w:rPr>
                <w:rFonts w:ascii="Times-New-Roman" w:hAnsi="Times-New-Roman" w:cs="Times-New-Roman"/>
              </w:rPr>
              <w:t xml:space="preserve"> zakonskom </w:t>
            </w:r>
            <w:r>
              <w:rPr>
                <w:rFonts w:ascii="Times-New-Roman" w:hAnsi="Times-New-Roman" w:cs="Times-New-Roman"/>
              </w:rPr>
              <w:t>regulate-</w:t>
            </w:r>
            <w:r w:rsidRPr="00A4469C">
              <w:rPr>
                <w:rFonts w:ascii="Times-New-Roman" w:hAnsi="Times-New-Roman" w:cs="Times-New-Roman"/>
              </w:rPr>
              <w:t>vom o transportu.</w:t>
            </w:r>
          </w:p>
        </w:tc>
      </w:tr>
      <w:tr w:rsidR="0041337C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E21BDC">
        <w:trPr>
          <w:trHeight w:val="26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1337C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1337C" w:rsidTr="001B1D22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</w:tbl>
    <w:p w:rsidR="00DE1005" w:rsidRPr="002C21D4" w:rsidRDefault="00DE1005" w:rsidP="00DE10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Vitamin B12 1% Feed Grade)</w:t>
      </w:r>
    </w:p>
    <w:p w:rsidR="00DE1005" w:rsidRPr="002C21D4" w:rsidRDefault="00DE1005" w:rsidP="00DE1005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C6567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1B1D22" w:rsidRDefault="001B1D22" w:rsidP="001B1D22">
      <w:pPr>
        <w:jc w:val="right"/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Pr="009A04C5">
        <w:rPr>
          <w:rFonts w:ascii="Times New Roman" w:hAnsi="Times New Roman" w:cs="Times New Roman"/>
        </w:rPr>
        <w:t>/</w:t>
      </w:r>
      <w:r w:rsidR="00215204">
        <w:rPr>
          <w:rFonts w:ascii="Times New Roman" w:hAnsi="Times New Roman" w:cs="Times New Roman"/>
        </w:rPr>
        <w:t>8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3060"/>
        <w:gridCol w:w="21"/>
        <w:gridCol w:w="3052"/>
      </w:tblGrid>
      <w:tr w:rsidR="0041337C" w:rsidTr="001B1D22">
        <w:trPr>
          <w:trHeight w:val="465"/>
          <w:jc w:val="center"/>
        </w:trPr>
        <w:tc>
          <w:tcPr>
            <w:tcW w:w="487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Naziv opasne hemikalije prema međunarodnim propisima o transportu opasnih tereta:</w:t>
            </w:r>
          </w:p>
        </w:tc>
        <w:tc>
          <w:tcPr>
            <w:tcW w:w="613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1337C" w:rsidTr="005F0560">
        <w:trPr>
          <w:trHeight w:val="278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l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eznički ADR, RID)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1337C" w:rsidRPr="00A4469C" w:rsidTr="005F0560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1337C" w:rsidRPr="00A123E5" w:rsidRDefault="0041337C" w:rsidP="00A123E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</w:t>
            </w:r>
            <w:r>
              <w:rPr>
                <w:rFonts w:ascii="Times-New-Roman" w:hAnsi="Times-New-Roman" w:cs="Times-New-Roman"/>
                <w:b/>
                <w:i/>
              </w:rPr>
              <w:t>l</w:t>
            </w:r>
            <w:r w:rsidRPr="00A4469C">
              <w:rPr>
                <w:rFonts w:ascii="Times-New-Roman" w:hAnsi="Times-New-Roman" w:cs="Times-New-Roman"/>
                <w:b/>
                <w:i/>
              </w:rPr>
              <w:t>eznički prevoz (RID)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30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5F0560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5F056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RPr="00A4469C" w:rsidTr="00E21BDC">
        <w:trPr>
          <w:trHeight w:val="2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41337C" w:rsidRPr="00A4469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41337C" w:rsidRPr="00A4469C" w:rsidRDefault="0041337C" w:rsidP="002739FC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41337C" w:rsidTr="00A123E5">
        <w:trPr>
          <w:trHeight w:val="180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1337C" w:rsidRPr="002C1ECB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41337C" w:rsidTr="00E21BDC">
        <w:trPr>
          <w:trHeight w:val="197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1337C" w:rsidRPr="00A4469C" w:rsidRDefault="0041337C" w:rsidP="00C5766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41337C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41337C" w:rsidRPr="00B50CEA" w:rsidRDefault="00215204" w:rsidP="002152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 xml:space="preserve">Obeležavanje </w:t>
            </w:r>
            <w:r w:rsidR="0041337C">
              <w:rPr>
                <w:rFonts w:ascii="Times-New-Roman,Bold" w:hAnsi="Times-New-Roman,Bold" w:cs="Times-New-Roman,Bold"/>
                <w:b/>
                <w:bCs/>
              </w:rPr>
              <w:t xml:space="preserve">prema EC Direktivi 1999/45/EC 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A4469C" w:rsidRDefault="00215204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4A008D">
              <w:rPr>
                <w:rFonts w:ascii="Times-New-Roman,Bold" w:hAnsi="Times-New-Roman,Bold" w:cs="Times-New-Roman,Bold"/>
                <w:bCs/>
                <w:lang w:val="en-GB"/>
              </w:rPr>
              <w:t>Proizvod se ne mora obeležavati prema EC direktivama ili važećim zakonskim regulativama.</w:t>
            </w:r>
          </w:p>
        </w:tc>
      </w:tr>
      <w:tr w:rsidR="0041337C" w:rsidTr="00E21BDC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1337C" w:rsidRPr="00B50CEA" w:rsidRDefault="0041337C" w:rsidP="00C5766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B50CEA">
              <w:rPr>
                <w:rFonts w:ascii="Times-New-Roman,Bold" w:hAnsi="Times-New-Roman,Bold" w:cs="Times-New-Roman,Bold"/>
                <w:b/>
                <w:bCs/>
              </w:rPr>
              <w:t>Oznaka: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1337C" w:rsidRPr="001F4CB2" w:rsidRDefault="00215204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E21BDC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</w:rPr>
              <w:t>Oznake rizika: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21BDC" w:rsidRDefault="00215204" w:rsidP="00E21BD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-</w:t>
            </w:r>
          </w:p>
        </w:tc>
      </w:tr>
      <w:tr w:rsidR="0041337C" w:rsidTr="001B1D22">
        <w:trPr>
          <w:trHeight w:val="8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Default="0041337C" w:rsidP="008A5D5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tab/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Oznake bezbednosti: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1337C" w:rsidRPr="00E6184E" w:rsidRDefault="00215204" w:rsidP="00E21B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1337C">
              <w:rPr>
                <w:sz w:val="23"/>
                <w:szCs w:val="23"/>
              </w:rPr>
              <w:t xml:space="preserve"> </w:t>
            </w:r>
          </w:p>
        </w:tc>
      </w:tr>
      <w:tr w:rsidR="0041337C" w:rsidTr="001C6567">
        <w:trPr>
          <w:trHeight w:val="242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1337C" w:rsidRPr="00A4469C" w:rsidRDefault="0041337C" w:rsidP="00C7566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-Primenljivi propisi: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1337C" w:rsidRPr="00C3539A" w:rsidRDefault="0041337C" w:rsidP="00C756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Nema podataka</w:t>
            </w:r>
          </w:p>
        </w:tc>
      </w:tr>
      <w:tr w:rsidR="00BC22EF" w:rsidTr="0041337C">
        <w:trPr>
          <w:trHeight w:val="413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AB4E3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9621A5" w:rsidRDefault="00BC22EF" w:rsidP="00597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57663" w:rsidRPr="009621A5" w:rsidRDefault="00215204" w:rsidP="001B1D2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F0560" w:rsidRPr="00E21BD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7566B" w:rsidTr="00AB4E3D">
        <w:trPr>
          <w:trHeight w:val="70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C7566B" w:rsidRPr="00A4469C" w:rsidRDefault="00C7566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7566B" w:rsidRDefault="00C7566B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AB4E3D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AB4E3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5F0560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 w:rsidRPr="005F0560">
              <w:rPr>
                <w:rFonts w:ascii="Times-New-Roman,Bold" w:hAnsi="Times-New-Roman,Bold" w:cs="Times-New-Roman,Bold"/>
                <w:bCs/>
                <w:color w:val="000000"/>
              </w:rPr>
              <w:t>-</w:t>
            </w:r>
            <w:r w:rsidR="0041337C">
              <w:rPr>
                <w:rFonts w:ascii="Times New Roman" w:hAnsi="Times New Roman" w:cs="Times New Roman"/>
              </w:rPr>
              <w:t xml:space="preserve"> Nema.</w:t>
            </w:r>
          </w:p>
        </w:tc>
      </w:tr>
      <w:tr w:rsidR="00BC22EF" w:rsidTr="00AB4E3D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Default="00394137" w:rsidP="00266788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215204">
        <w:trPr>
          <w:trHeight w:val="39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1C6567" w:rsidTr="00316978">
        <w:trPr>
          <w:trHeight w:val="39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1C6567" w:rsidRDefault="001C6567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215204">
        <w:trPr>
          <w:trHeight w:val="465"/>
          <w:jc w:val="center"/>
        </w:trPr>
        <w:tc>
          <w:tcPr>
            <w:tcW w:w="1100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1337C" w:rsidRDefault="0041337C" w:rsidP="001C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1C6567" w:rsidRPr="006669A8" w:rsidRDefault="001C6567" w:rsidP="001C6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669A8" w:rsidRPr="00A4469C" w:rsidRDefault="0041337C" w:rsidP="001C6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>
              <w:rPr>
                <w:rFonts w:ascii="Times New Roman" w:hAnsi="Times New Roman" w:cs="Times New Roman"/>
              </w:rPr>
              <w:t xml:space="preserve"> Ove informacije su pružene samo kao uputstvo za bezbedno rukovanje, korišćenje, skladištenje, transport, odlaganje i ne treba se smatrati nikakvom garancijom ili specifikacijom kvaliteta proizvoda.Informacije se odnose samo na specifične naznačene materijale i ne mogu se smatrati validnim ako je proizvod upotrebljen u kombinaciji sa nekim drugim, ili u procesu, ukoliko nije drugačije navedeno u tekstu.</w:t>
            </w:r>
          </w:p>
        </w:tc>
      </w:tr>
    </w:tbl>
    <w:p w:rsidR="00215204" w:rsidRPr="002C21D4" w:rsidRDefault="00215204" w:rsidP="001C656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Vitamin B12 1% Feed Grade)</w:t>
      </w:r>
    </w:p>
    <w:p w:rsidR="00215204" w:rsidRPr="002C21D4" w:rsidRDefault="00215204" w:rsidP="0021520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1C6567">
        <w:rPr>
          <w:rFonts w:ascii="Times New Roman" w:hAnsi="Times New Roman" w:cs="Times New Roman"/>
          <w:sz w:val="18"/>
          <w:szCs w:val="18"/>
          <w:lang w:val="sr-Latn-CS"/>
        </w:rPr>
        <w:t>decembar, 2012</w:t>
      </w:r>
      <w:r>
        <w:rPr>
          <w:rFonts w:ascii="Times New Roman" w:hAnsi="Times New Roman" w:cs="Times New Roman"/>
          <w:sz w:val="18"/>
          <w:szCs w:val="18"/>
          <w:lang w:val="sr-Latn-CS"/>
        </w:rPr>
        <w:t>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</w:t>
      </w:r>
      <w:r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5148B0" w:rsidRDefault="00215204" w:rsidP="002152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proofErr w:type="gramStart"/>
      <w:r>
        <w:rPr>
          <w:rFonts w:ascii="Times New Roman" w:hAnsi="Times New Roman" w:cs="Times New Roman"/>
        </w:rPr>
        <w:t>s</w:t>
      </w:r>
      <w:r w:rsidRPr="009A04C5">
        <w:rPr>
          <w:rFonts w:ascii="Times New Roman" w:hAnsi="Times New Roman" w:cs="Times New Roman"/>
        </w:rPr>
        <w:t>trana</w:t>
      </w:r>
      <w:proofErr w:type="gramEnd"/>
      <w:r w:rsidRPr="009A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A04C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8</w:t>
      </w:r>
    </w:p>
    <w:sectPr w:rsidR="005148B0" w:rsidSect="002C21D4">
      <w:headerReference w:type="default" r:id="rId9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1E" w:rsidRDefault="00B57F1E" w:rsidP="005E0553">
      <w:pPr>
        <w:spacing w:after="0" w:line="240" w:lineRule="auto"/>
      </w:pPr>
      <w:r>
        <w:separator/>
      </w:r>
    </w:p>
  </w:endnote>
  <w:endnote w:type="continuationSeparator" w:id="0">
    <w:p w:rsidR="00B57F1E" w:rsidRDefault="00B57F1E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1E" w:rsidRDefault="00B57F1E" w:rsidP="005E0553">
      <w:pPr>
        <w:spacing w:after="0" w:line="240" w:lineRule="auto"/>
      </w:pPr>
      <w:r>
        <w:separator/>
      </w:r>
    </w:p>
  </w:footnote>
  <w:footnote w:type="continuationSeparator" w:id="0">
    <w:p w:rsidR="00B57F1E" w:rsidRDefault="00B57F1E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05" w:rsidRDefault="00DE1005" w:rsidP="00D23B93">
    <w:pPr>
      <w:pStyle w:val="Header"/>
    </w:pPr>
    <w:r>
      <w:rPr>
        <w:noProof/>
      </w:rPr>
      <w:drawing>
        <wp:inline distT="0" distB="0" distL="0" distR="0" wp14:anchorId="07AB868D" wp14:editId="5A559534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E1005" w:rsidRPr="00D23B93" w:rsidRDefault="00DE1005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48021B7"/>
    <w:multiLevelType w:val="hybridMultilevel"/>
    <w:tmpl w:val="F0742ACA"/>
    <w:lvl w:ilvl="0" w:tplc="901871E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11E63"/>
    <w:rsid w:val="0002750E"/>
    <w:rsid w:val="00031EF2"/>
    <w:rsid w:val="0004713E"/>
    <w:rsid w:val="00054A79"/>
    <w:rsid w:val="00067DCF"/>
    <w:rsid w:val="0007476B"/>
    <w:rsid w:val="00074FD9"/>
    <w:rsid w:val="00085431"/>
    <w:rsid w:val="00096130"/>
    <w:rsid w:val="0009618B"/>
    <w:rsid w:val="000E3E04"/>
    <w:rsid w:val="000F2585"/>
    <w:rsid w:val="00117B76"/>
    <w:rsid w:val="0012537F"/>
    <w:rsid w:val="00143727"/>
    <w:rsid w:val="001472BC"/>
    <w:rsid w:val="00147F3F"/>
    <w:rsid w:val="00152071"/>
    <w:rsid w:val="001B1D22"/>
    <w:rsid w:val="001C6567"/>
    <w:rsid w:val="001F4CB2"/>
    <w:rsid w:val="002024E4"/>
    <w:rsid w:val="002052E7"/>
    <w:rsid w:val="00215204"/>
    <w:rsid w:val="00234156"/>
    <w:rsid w:val="00251008"/>
    <w:rsid w:val="00264501"/>
    <w:rsid w:val="00266788"/>
    <w:rsid w:val="002739FC"/>
    <w:rsid w:val="002866E7"/>
    <w:rsid w:val="0028690C"/>
    <w:rsid w:val="002A36C3"/>
    <w:rsid w:val="002B13B9"/>
    <w:rsid w:val="002C1ECB"/>
    <w:rsid w:val="002C21D4"/>
    <w:rsid w:val="002C36FB"/>
    <w:rsid w:val="002C7808"/>
    <w:rsid w:val="0032758A"/>
    <w:rsid w:val="00335A8D"/>
    <w:rsid w:val="00351689"/>
    <w:rsid w:val="00356F05"/>
    <w:rsid w:val="0038518E"/>
    <w:rsid w:val="00394137"/>
    <w:rsid w:val="0039538E"/>
    <w:rsid w:val="003B3B37"/>
    <w:rsid w:val="003F131A"/>
    <w:rsid w:val="004068D3"/>
    <w:rsid w:val="004105AA"/>
    <w:rsid w:val="0041337C"/>
    <w:rsid w:val="00422A41"/>
    <w:rsid w:val="00432C12"/>
    <w:rsid w:val="00436CAD"/>
    <w:rsid w:val="0044303C"/>
    <w:rsid w:val="00445C66"/>
    <w:rsid w:val="00447DDE"/>
    <w:rsid w:val="0045717F"/>
    <w:rsid w:val="0045753D"/>
    <w:rsid w:val="004600C2"/>
    <w:rsid w:val="00461F2E"/>
    <w:rsid w:val="00466825"/>
    <w:rsid w:val="00467ADC"/>
    <w:rsid w:val="00481C81"/>
    <w:rsid w:val="004851FC"/>
    <w:rsid w:val="00505DE2"/>
    <w:rsid w:val="005148B0"/>
    <w:rsid w:val="005252C9"/>
    <w:rsid w:val="00536A1D"/>
    <w:rsid w:val="005377C2"/>
    <w:rsid w:val="00554D40"/>
    <w:rsid w:val="00566EA0"/>
    <w:rsid w:val="005979D5"/>
    <w:rsid w:val="005A212A"/>
    <w:rsid w:val="005B1B79"/>
    <w:rsid w:val="005B3CA4"/>
    <w:rsid w:val="005C1966"/>
    <w:rsid w:val="005D0B13"/>
    <w:rsid w:val="005E0553"/>
    <w:rsid w:val="005E4EBC"/>
    <w:rsid w:val="005F0560"/>
    <w:rsid w:val="005F462A"/>
    <w:rsid w:val="00607DA6"/>
    <w:rsid w:val="006164A0"/>
    <w:rsid w:val="00617AA1"/>
    <w:rsid w:val="006351DF"/>
    <w:rsid w:val="0063635E"/>
    <w:rsid w:val="006558E6"/>
    <w:rsid w:val="006669A8"/>
    <w:rsid w:val="0067694D"/>
    <w:rsid w:val="00676F94"/>
    <w:rsid w:val="006812B4"/>
    <w:rsid w:val="006A1DEE"/>
    <w:rsid w:val="006B5251"/>
    <w:rsid w:val="006C720B"/>
    <w:rsid w:val="006D1224"/>
    <w:rsid w:val="006E27B7"/>
    <w:rsid w:val="006E68A5"/>
    <w:rsid w:val="006F2F8B"/>
    <w:rsid w:val="0071109E"/>
    <w:rsid w:val="007110B0"/>
    <w:rsid w:val="00714C28"/>
    <w:rsid w:val="0072765F"/>
    <w:rsid w:val="00737075"/>
    <w:rsid w:val="007518B9"/>
    <w:rsid w:val="007543CD"/>
    <w:rsid w:val="00794AD3"/>
    <w:rsid w:val="007D59BC"/>
    <w:rsid w:val="007D61B6"/>
    <w:rsid w:val="007E419C"/>
    <w:rsid w:val="007E53B6"/>
    <w:rsid w:val="007E59D4"/>
    <w:rsid w:val="00811949"/>
    <w:rsid w:val="00813673"/>
    <w:rsid w:val="008151FC"/>
    <w:rsid w:val="00824C25"/>
    <w:rsid w:val="008302DE"/>
    <w:rsid w:val="00831D13"/>
    <w:rsid w:val="00851214"/>
    <w:rsid w:val="008558C9"/>
    <w:rsid w:val="00856467"/>
    <w:rsid w:val="00872636"/>
    <w:rsid w:val="00884F14"/>
    <w:rsid w:val="008865EA"/>
    <w:rsid w:val="008962A9"/>
    <w:rsid w:val="008971EB"/>
    <w:rsid w:val="008A3492"/>
    <w:rsid w:val="008A5D51"/>
    <w:rsid w:val="008B2A29"/>
    <w:rsid w:val="008C114A"/>
    <w:rsid w:val="008C30B3"/>
    <w:rsid w:val="008D4825"/>
    <w:rsid w:val="008E49CB"/>
    <w:rsid w:val="00902FC3"/>
    <w:rsid w:val="00906BE0"/>
    <w:rsid w:val="00914E90"/>
    <w:rsid w:val="00917F6A"/>
    <w:rsid w:val="009309C6"/>
    <w:rsid w:val="009359FB"/>
    <w:rsid w:val="0095276B"/>
    <w:rsid w:val="00956EB0"/>
    <w:rsid w:val="009621A5"/>
    <w:rsid w:val="009634D6"/>
    <w:rsid w:val="00980C6D"/>
    <w:rsid w:val="00981B20"/>
    <w:rsid w:val="00997573"/>
    <w:rsid w:val="009A04C5"/>
    <w:rsid w:val="009A6C02"/>
    <w:rsid w:val="009C50E8"/>
    <w:rsid w:val="009F787D"/>
    <w:rsid w:val="00A00327"/>
    <w:rsid w:val="00A123E5"/>
    <w:rsid w:val="00A129AF"/>
    <w:rsid w:val="00A25630"/>
    <w:rsid w:val="00A3582C"/>
    <w:rsid w:val="00A35FBB"/>
    <w:rsid w:val="00A3622A"/>
    <w:rsid w:val="00A508F7"/>
    <w:rsid w:val="00A56A66"/>
    <w:rsid w:val="00A84B29"/>
    <w:rsid w:val="00AA3358"/>
    <w:rsid w:val="00AB155E"/>
    <w:rsid w:val="00AB4E3D"/>
    <w:rsid w:val="00AC6566"/>
    <w:rsid w:val="00AD7EC8"/>
    <w:rsid w:val="00B12957"/>
    <w:rsid w:val="00B43815"/>
    <w:rsid w:val="00B50CEA"/>
    <w:rsid w:val="00B52EC4"/>
    <w:rsid w:val="00B57F1E"/>
    <w:rsid w:val="00B60E28"/>
    <w:rsid w:val="00B924FE"/>
    <w:rsid w:val="00BC052C"/>
    <w:rsid w:val="00BC22EF"/>
    <w:rsid w:val="00BD7869"/>
    <w:rsid w:val="00BE2459"/>
    <w:rsid w:val="00C00128"/>
    <w:rsid w:val="00C2169A"/>
    <w:rsid w:val="00C3539A"/>
    <w:rsid w:val="00C44762"/>
    <w:rsid w:val="00C464FB"/>
    <w:rsid w:val="00C54609"/>
    <w:rsid w:val="00C57663"/>
    <w:rsid w:val="00C656DC"/>
    <w:rsid w:val="00C72846"/>
    <w:rsid w:val="00C7566B"/>
    <w:rsid w:val="00C979C4"/>
    <w:rsid w:val="00CB461D"/>
    <w:rsid w:val="00CC32B9"/>
    <w:rsid w:val="00CD1990"/>
    <w:rsid w:val="00D03287"/>
    <w:rsid w:val="00D104E8"/>
    <w:rsid w:val="00D23B93"/>
    <w:rsid w:val="00D32554"/>
    <w:rsid w:val="00D51D00"/>
    <w:rsid w:val="00D5451D"/>
    <w:rsid w:val="00D552F8"/>
    <w:rsid w:val="00D62DE6"/>
    <w:rsid w:val="00DA295D"/>
    <w:rsid w:val="00DC08B6"/>
    <w:rsid w:val="00DC46A9"/>
    <w:rsid w:val="00DC4F00"/>
    <w:rsid w:val="00DE1005"/>
    <w:rsid w:val="00DE34B9"/>
    <w:rsid w:val="00E13312"/>
    <w:rsid w:val="00E21BDC"/>
    <w:rsid w:val="00E34D54"/>
    <w:rsid w:val="00E5128F"/>
    <w:rsid w:val="00E6184E"/>
    <w:rsid w:val="00E747D7"/>
    <w:rsid w:val="00E87E5D"/>
    <w:rsid w:val="00E917B2"/>
    <w:rsid w:val="00E936CC"/>
    <w:rsid w:val="00EA31F3"/>
    <w:rsid w:val="00EC2B94"/>
    <w:rsid w:val="00EC607C"/>
    <w:rsid w:val="00ED030C"/>
    <w:rsid w:val="00ED42CE"/>
    <w:rsid w:val="00EE1F05"/>
    <w:rsid w:val="00EF3E95"/>
    <w:rsid w:val="00EF58BD"/>
    <w:rsid w:val="00F103C0"/>
    <w:rsid w:val="00F21701"/>
    <w:rsid w:val="00F41802"/>
    <w:rsid w:val="00F4586F"/>
    <w:rsid w:val="00F63302"/>
    <w:rsid w:val="00F65A6A"/>
    <w:rsid w:val="00F87B4D"/>
    <w:rsid w:val="00F92024"/>
    <w:rsid w:val="00FA0522"/>
    <w:rsid w:val="00FA3ED0"/>
    <w:rsid w:val="00FC4D1B"/>
    <w:rsid w:val="00FD39FE"/>
    <w:rsid w:val="00FD4FC3"/>
    <w:rsid w:val="00FD78B7"/>
    <w:rsid w:val="00FF16F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paragraph" w:customStyle="1" w:styleId="Default">
    <w:name w:val="Default"/>
    <w:rsid w:val="00B50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7C4D-3F6B-4341-8606-6183DCC6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10</cp:revision>
  <dcterms:created xsi:type="dcterms:W3CDTF">2012-12-12T07:19:00Z</dcterms:created>
  <dcterms:modified xsi:type="dcterms:W3CDTF">2013-01-25T13:22:00Z</dcterms:modified>
</cp:coreProperties>
</file>